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A864D" w14:textId="77777777" w:rsidR="00D7034C" w:rsidRDefault="00D7034C" w:rsidP="00D703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ROMÂNIA</w:t>
      </w:r>
    </w:p>
    <w:p w14:paraId="56DF0AFE" w14:textId="77777777" w:rsidR="00D7034C" w:rsidRDefault="00D7034C" w:rsidP="00D703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JUDEȚUL NEAMȚ</w:t>
      </w:r>
    </w:p>
    <w:p w14:paraId="45B59601" w14:textId="77777777" w:rsidR="00D7034C" w:rsidRDefault="00D7034C" w:rsidP="00D703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COMUNA ION CREANGĂ</w:t>
      </w:r>
    </w:p>
    <w:p w14:paraId="62487522" w14:textId="77777777" w:rsidR="00D7034C" w:rsidRDefault="00D7034C" w:rsidP="00D703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PRIMAR</w:t>
      </w:r>
    </w:p>
    <w:p w14:paraId="10C29237" w14:textId="77777777" w:rsidR="00D7034C" w:rsidRDefault="00D7034C" w:rsidP="00D703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36FFAEF" w14:textId="77777777" w:rsidR="00D7034C" w:rsidRDefault="00D7034C" w:rsidP="00D703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DISPOZIȚIA</w:t>
      </w:r>
    </w:p>
    <w:p w14:paraId="49FA6A15" w14:textId="217AF56D" w:rsidR="00D7034C" w:rsidRDefault="00D7034C" w:rsidP="00D703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Nr.</w:t>
      </w:r>
      <w:r w:rsidR="009320C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27</w:t>
      </w:r>
      <w:r w:rsidR="005707DF">
        <w:rPr>
          <w:rFonts w:ascii="Times New Roman" w:hAnsi="Times New Roman" w:cs="Times New Roman"/>
          <w:b/>
          <w:bCs/>
          <w:sz w:val="24"/>
          <w:szCs w:val="24"/>
          <w:lang w:val="ro-RO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din 1</w:t>
      </w:r>
      <w:r w:rsidR="00C32145">
        <w:rPr>
          <w:rFonts w:ascii="Times New Roman" w:hAnsi="Times New Roman" w:cs="Times New Roman"/>
          <w:b/>
          <w:bCs/>
          <w:sz w:val="24"/>
          <w:szCs w:val="24"/>
          <w:lang w:val="ro-RO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.09.2023</w:t>
      </w:r>
    </w:p>
    <w:p w14:paraId="26C47781" w14:textId="77777777" w:rsidR="00D7034C" w:rsidRDefault="00D7034C" w:rsidP="00D703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02971AE" w14:textId="77777777" w:rsidR="005707DF" w:rsidRDefault="00D7034C" w:rsidP="00D703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Privind </w:t>
      </w:r>
      <w:r w:rsidR="005707D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delegarea calității de ordonator principal de credite </w:t>
      </w:r>
    </w:p>
    <w:p w14:paraId="5A295B77" w14:textId="0E669331" w:rsidR="00D7034C" w:rsidRDefault="005707DF" w:rsidP="00D703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viceprimarului comunei</w:t>
      </w:r>
    </w:p>
    <w:p w14:paraId="7FA6C8A1" w14:textId="77777777" w:rsidR="00D7034C" w:rsidRDefault="00D7034C" w:rsidP="00D703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C6BD7FA" w14:textId="77777777" w:rsidR="00D7034C" w:rsidRDefault="00D7034C" w:rsidP="00D7034C">
      <w:pPr>
        <w:spacing w:after="0"/>
        <w:jc w:val="center"/>
        <w:rPr>
          <w:rFonts w:ascii="Times New Roman" w:hAnsi="Times New Roman" w:cs="Times New Roman"/>
          <w:lang w:val="ro-RO"/>
        </w:rPr>
      </w:pPr>
    </w:p>
    <w:p w14:paraId="104965AB" w14:textId="77777777" w:rsidR="00D7034C" w:rsidRDefault="00D7034C" w:rsidP="00D7034C">
      <w:p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  <w:t>Analizând temeiurile juridice:</w:t>
      </w:r>
    </w:p>
    <w:p w14:paraId="6ACE0E69" w14:textId="2F18A9FC" w:rsidR="00D7034C" w:rsidRDefault="00D7034C" w:rsidP="00D7034C">
      <w:p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-</w:t>
      </w:r>
      <w:r w:rsidR="005707DF">
        <w:rPr>
          <w:rFonts w:ascii="Times New Roman" w:hAnsi="Times New Roman" w:cs="Times New Roman"/>
          <w:lang w:val="ro-RO"/>
        </w:rPr>
        <w:t>art. 21 alin. (2) și (3) din Legea nr. 273/2006 privind finanțele publice, cu modificările și completările ulterioare;</w:t>
      </w:r>
    </w:p>
    <w:p w14:paraId="4EFA8D6F" w14:textId="48993D1A" w:rsidR="00547571" w:rsidRDefault="00547571" w:rsidP="00D7034C">
      <w:p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- </w:t>
      </w:r>
      <w:r w:rsidR="005707DF">
        <w:rPr>
          <w:rFonts w:ascii="Times New Roman" w:hAnsi="Times New Roman" w:cs="Times New Roman"/>
          <w:lang w:val="ro-RO"/>
        </w:rPr>
        <w:t>art. 20 alin. (1), (2) și (4) din Legea nr. 500/</w:t>
      </w:r>
      <w:r w:rsidRPr="00547571">
        <w:rPr>
          <w:rFonts w:ascii="Times New Roman" w:hAnsi="Times New Roman" w:cs="Times New Roman"/>
          <w:lang w:val="ro-RO"/>
        </w:rPr>
        <w:t xml:space="preserve"> </w:t>
      </w:r>
      <w:r w:rsidR="005707DF">
        <w:rPr>
          <w:rFonts w:ascii="Times New Roman" w:hAnsi="Times New Roman" w:cs="Times New Roman"/>
          <w:lang w:val="ro-RO"/>
        </w:rPr>
        <w:t>2002 privind finanțele publice, cu modificările și completările ulterioare;</w:t>
      </w:r>
    </w:p>
    <w:p w14:paraId="270771C3" w14:textId="0D793FFA" w:rsidR="00C32145" w:rsidRDefault="00C32145" w:rsidP="00D7034C">
      <w:p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- </w:t>
      </w:r>
      <w:r w:rsidR="005707DF">
        <w:rPr>
          <w:rFonts w:ascii="Times New Roman" w:hAnsi="Times New Roman" w:cs="Times New Roman"/>
          <w:lang w:val="ro-RO"/>
        </w:rPr>
        <w:t xml:space="preserve">art. 13 alin. (1) și (2) </w:t>
      </w:r>
      <w:r w:rsidR="00B1734F">
        <w:rPr>
          <w:rFonts w:ascii="Times New Roman" w:hAnsi="Times New Roman" w:cs="Times New Roman"/>
          <w:lang w:val="ro-RO"/>
        </w:rPr>
        <w:t xml:space="preserve">din </w:t>
      </w:r>
      <w:r w:rsidR="005707DF">
        <w:rPr>
          <w:rFonts w:ascii="Times New Roman" w:hAnsi="Times New Roman" w:cs="Times New Roman"/>
          <w:lang w:val="ro-RO"/>
        </w:rPr>
        <w:t>O.G. nr. 119/1999 privind controlul intern și controlul financiar preventiv, republicat, cu modificările și completările ulterioare;</w:t>
      </w:r>
      <w:r>
        <w:rPr>
          <w:rFonts w:ascii="Times New Roman" w:hAnsi="Times New Roman" w:cs="Times New Roman"/>
          <w:lang w:val="ro-RO"/>
        </w:rPr>
        <w:t xml:space="preserve"> </w:t>
      </w:r>
    </w:p>
    <w:p w14:paraId="7E0BC24F" w14:textId="76013942" w:rsidR="00D7034C" w:rsidRDefault="00D7034C" w:rsidP="00D7034C">
      <w:p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- </w:t>
      </w:r>
      <w:r w:rsidR="00BE06B1">
        <w:rPr>
          <w:rFonts w:ascii="Times New Roman" w:hAnsi="Times New Roman" w:cs="Times New Roman"/>
          <w:lang w:val="ro-RO"/>
        </w:rPr>
        <w:t>art. 2 alin. (3) și art. 10 alin. (1) din Legea nr. 82/1991 a contabilității, republicată, cu modificările și completările ulterioare;</w:t>
      </w:r>
    </w:p>
    <w:p w14:paraId="242A4DC2" w14:textId="0F40CE2D" w:rsidR="00D7034C" w:rsidRDefault="00D7034C" w:rsidP="00D7034C">
      <w:p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- </w:t>
      </w:r>
      <w:r w:rsidR="00BE06B1">
        <w:rPr>
          <w:rFonts w:ascii="Times New Roman" w:hAnsi="Times New Roman" w:cs="Times New Roman"/>
          <w:lang w:val="ro-RO"/>
        </w:rPr>
        <w:t>Ordinul ministrului finanțelor publice nr. 1792/2002 pentru aprobarea Normelor metodologice privind angajarea, lichidarea, ordonanțarea și plata cheltuielilor instituțiilor publice, precum și organizarea, evidența și raportarea angajamentelor bugetare și legale, cu modificările și completările ulterioare</w:t>
      </w:r>
      <w:r>
        <w:rPr>
          <w:rFonts w:ascii="Times New Roman" w:hAnsi="Times New Roman" w:cs="Times New Roman"/>
          <w:lang w:val="ro-RO"/>
        </w:rPr>
        <w:t>;</w:t>
      </w:r>
    </w:p>
    <w:p w14:paraId="52B646FE" w14:textId="60A782AD" w:rsidR="00D7034C" w:rsidRDefault="00BE06B1" w:rsidP="00BE06B1">
      <w:p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- Art. 157  din O.U.G. nr. 57/2019 privind Codul administrativ, cu modificările și completările ulterioare</w:t>
      </w:r>
    </w:p>
    <w:p w14:paraId="35CE5C29" w14:textId="454BBB22" w:rsidR="00D7034C" w:rsidRDefault="00D7034C" w:rsidP="00D7034C">
      <w:pPr>
        <w:spacing w:after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  <w:t>În temeiul dispozițiilor art. 155 alin. (1) lit. ”</w:t>
      </w:r>
      <w:r w:rsidR="00BE06B1">
        <w:rPr>
          <w:rFonts w:ascii="Times New Roman" w:hAnsi="Times New Roman" w:cs="Times New Roman"/>
          <w:lang w:val="ro-RO"/>
        </w:rPr>
        <w:t>e</w:t>
      </w:r>
      <w:r>
        <w:rPr>
          <w:rFonts w:ascii="Times New Roman" w:hAnsi="Times New Roman" w:cs="Times New Roman"/>
          <w:lang w:val="ro-RO"/>
        </w:rPr>
        <w:t xml:space="preserve">”, art. 196 alin. (1) lit. ”b” </w:t>
      </w:r>
      <w:r w:rsidR="00BE06B1">
        <w:rPr>
          <w:rFonts w:ascii="Times New Roman" w:hAnsi="Times New Roman" w:cs="Times New Roman"/>
          <w:lang w:val="ro-RO"/>
        </w:rPr>
        <w:t xml:space="preserve"> și art. 197 alin. (1) </w:t>
      </w:r>
      <w:r>
        <w:rPr>
          <w:rFonts w:ascii="Times New Roman" w:hAnsi="Times New Roman" w:cs="Times New Roman"/>
          <w:lang w:val="ro-RO"/>
        </w:rPr>
        <w:t>din O.U.G. nr. 57/2019, privind Codul administrativ,</w:t>
      </w:r>
    </w:p>
    <w:p w14:paraId="48B2699C" w14:textId="77777777" w:rsidR="00D7034C" w:rsidRDefault="00D7034C" w:rsidP="00D7034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Primarul Comunei Ion Creangă, județul Neamț</w:t>
      </w:r>
    </w:p>
    <w:p w14:paraId="7F8A61E8" w14:textId="77777777" w:rsidR="00D7034C" w:rsidRDefault="00D7034C" w:rsidP="00D7034C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7ADAF21F" w14:textId="77777777" w:rsidR="00D7034C" w:rsidRDefault="00D7034C" w:rsidP="006556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DISPUNE</w:t>
      </w:r>
    </w:p>
    <w:p w14:paraId="2BB6639D" w14:textId="77777777" w:rsidR="0065566B" w:rsidRDefault="0065566B" w:rsidP="0065566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BB8F71B" w14:textId="37090633" w:rsidR="003B59E9" w:rsidRDefault="001C5B2E" w:rsidP="00BE06B1">
      <w:pPr>
        <w:pStyle w:val="BodyText"/>
        <w:spacing w:line="276" w:lineRule="auto"/>
        <w:rPr>
          <w:spacing w:val="-58"/>
          <w:w w:val="105"/>
          <w:sz w:val="22"/>
          <w:szCs w:val="22"/>
          <w:lang w:val="ro-RO"/>
        </w:rPr>
      </w:pPr>
      <w:r>
        <w:rPr>
          <w:b/>
          <w:bCs/>
          <w:lang w:val="ro-RO"/>
        </w:rPr>
        <w:tab/>
      </w:r>
      <w:r w:rsidR="00D7034C" w:rsidRPr="001C5B2E">
        <w:rPr>
          <w:b/>
          <w:bCs/>
          <w:sz w:val="22"/>
          <w:szCs w:val="22"/>
          <w:lang w:val="ro-RO"/>
        </w:rPr>
        <w:t>Art.</w:t>
      </w:r>
      <w:r w:rsidRPr="001C5B2E">
        <w:rPr>
          <w:sz w:val="22"/>
          <w:szCs w:val="22"/>
          <w:lang w:val="ro-RO"/>
        </w:rPr>
        <w:t xml:space="preserve"> </w:t>
      </w:r>
      <w:r w:rsidR="00BE06B1">
        <w:rPr>
          <w:sz w:val="22"/>
          <w:szCs w:val="22"/>
          <w:lang w:val="ro-RO"/>
        </w:rPr>
        <w:t xml:space="preserve">În perioada 18 – 22 septembrie 2023, se deleagă </w:t>
      </w:r>
      <w:r w:rsidR="00A920F2">
        <w:rPr>
          <w:sz w:val="22"/>
          <w:szCs w:val="22"/>
          <w:lang w:val="ro-RO"/>
        </w:rPr>
        <w:t xml:space="preserve">domnului viceprimar Constantin Vasile, să semneze pentru și în numele </w:t>
      </w:r>
      <w:r w:rsidR="00BE06B1">
        <w:rPr>
          <w:sz w:val="22"/>
          <w:szCs w:val="22"/>
          <w:lang w:val="ro-RO"/>
        </w:rPr>
        <w:t>ordonator</w:t>
      </w:r>
      <w:r w:rsidR="00A920F2">
        <w:rPr>
          <w:sz w:val="22"/>
          <w:szCs w:val="22"/>
          <w:lang w:val="ro-RO"/>
        </w:rPr>
        <w:t>ului</w:t>
      </w:r>
      <w:r w:rsidR="00BE06B1">
        <w:rPr>
          <w:sz w:val="22"/>
          <w:szCs w:val="22"/>
          <w:lang w:val="ro-RO"/>
        </w:rPr>
        <w:t xml:space="preserve"> principal de credite</w:t>
      </w:r>
      <w:r w:rsidR="00A920F2">
        <w:rPr>
          <w:sz w:val="22"/>
          <w:szCs w:val="22"/>
          <w:lang w:val="ro-RO"/>
        </w:rPr>
        <w:t xml:space="preserve"> angajarea de cheltuieli, utilizarea de credite bugetare și efectuarea operațiunilor privind încasarea veniturilor bugetare și plata cheltuielilor angajate numai în limita prevederilor bugetare.</w:t>
      </w:r>
    </w:p>
    <w:p w14:paraId="33B7FC70" w14:textId="3EFCEBD9" w:rsidR="0065566B" w:rsidRPr="00A920F2" w:rsidRDefault="0065566B" w:rsidP="00A920F2">
      <w:pPr>
        <w:pStyle w:val="BodyText"/>
        <w:spacing w:line="276" w:lineRule="auto"/>
        <w:ind w:hanging="1"/>
        <w:rPr>
          <w:sz w:val="22"/>
          <w:szCs w:val="22"/>
          <w:lang w:val="ro-RO"/>
        </w:rPr>
      </w:pPr>
      <w:r>
        <w:rPr>
          <w:b/>
          <w:bCs/>
          <w:spacing w:val="-1"/>
          <w:w w:val="105"/>
          <w:sz w:val="22"/>
          <w:szCs w:val="22"/>
          <w:lang w:val="ro-RO"/>
        </w:rPr>
        <w:tab/>
      </w:r>
      <w:r>
        <w:rPr>
          <w:b/>
          <w:bCs/>
          <w:spacing w:val="-1"/>
          <w:w w:val="105"/>
          <w:sz w:val="22"/>
          <w:szCs w:val="22"/>
          <w:lang w:val="ro-RO"/>
        </w:rPr>
        <w:tab/>
      </w:r>
      <w:r w:rsidR="001C5B2E" w:rsidRPr="0065566B">
        <w:rPr>
          <w:b/>
          <w:bCs/>
          <w:spacing w:val="-1"/>
          <w:w w:val="105"/>
          <w:sz w:val="22"/>
          <w:szCs w:val="22"/>
          <w:lang w:val="ro-RO"/>
        </w:rPr>
        <w:t>Art.2.</w:t>
      </w:r>
      <w:r w:rsidR="001C5B2E" w:rsidRPr="001C5B2E">
        <w:rPr>
          <w:spacing w:val="-11"/>
          <w:w w:val="105"/>
          <w:sz w:val="22"/>
          <w:szCs w:val="22"/>
          <w:lang w:val="ro-RO"/>
        </w:rPr>
        <w:t xml:space="preserve"> </w:t>
      </w:r>
      <w:r w:rsidR="00A920F2" w:rsidRPr="001C5B2E">
        <w:rPr>
          <w:w w:val="105"/>
          <w:sz w:val="22"/>
          <w:szCs w:val="22"/>
          <w:lang w:val="ro-RO"/>
        </w:rPr>
        <w:t xml:space="preserve">Prevederile </w:t>
      </w:r>
      <w:r w:rsidR="00A920F2" w:rsidRPr="001C5B2E">
        <w:rPr>
          <w:spacing w:val="40"/>
          <w:w w:val="105"/>
          <w:sz w:val="22"/>
          <w:szCs w:val="22"/>
          <w:lang w:val="ro-RO"/>
        </w:rPr>
        <w:t xml:space="preserve"> </w:t>
      </w:r>
      <w:r w:rsidR="00A920F2" w:rsidRPr="001C5B2E">
        <w:rPr>
          <w:w w:val="105"/>
          <w:sz w:val="22"/>
          <w:szCs w:val="22"/>
          <w:lang w:val="ro-RO"/>
        </w:rPr>
        <w:t xml:space="preserve">prezentei </w:t>
      </w:r>
      <w:r w:rsidR="00A920F2" w:rsidRPr="001C5B2E">
        <w:rPr>
          <w:spacing w:val="43"/>
          <w:w w:val="105"/>
          <w:sz w:val="22"/>
          <w:szCs w:val="22"/>
          <w:lang w:val="ro-RO"/>
        </w:rPr>
        <w:t xml:space="preserve"> </w:t>
      </w:r>
      <w:r w:rsidR="00A920F2" w:rsidRPr="001C5B2E">
        <w:rPr>
          <w:w w:val="105"/>
          <w:sz w:val="22"/>
          <w:szCs w:val="22"/>
          <w:lang w:val="ro-RO"/>
        </w:rPr>
        <w:t xml:space="preserve">dispoziții </w:t>
      </w:r>
      <w:r w:rsidR="00A920F2" w:rsidRPr="001C5B2E">
        <w:rPr>
          <w:spacing w:val="50"/>
          <w:w w:val="105"/>
          <w:sz w:val="22"/>
          <w:szCs w:val="22"/>
          <w:lang w:val="ro-RO"/>
        </w:rPr>
        <w:t xml:space="preserve"> </w:t>
      </w:r>
      <w:r w:rsidR="00A920F2" w:rsidRPr="001C5B2E">
        <w:rPr>
          <w:w w:val="105"/>
          <w:sz w:val="22"/>
          <w:szCs w:val="22"/>
          <w:lang w:val="ro-RO"/>
        </w:rPr>
        <w:t xml:space="preserve">vor </w:t>
      </w:r>
      <w:r w:rsidR="00A920F2" w:rsidRPr="001C5B2E">
        <w:rPr>
          <w:spacing w:val="24"/>
          <w:w w:val="105"/>
          <w:sz w:val="22"/>
          <w:szCs w:val="22"/>
          <w:lang w:val="ro-RO"/>
        </w:rPr>
        <w:t xml:space="preserve"> </w:t>
      </w:r>
      <w:r w:rsidR="00A920F2" w:rsidRPr="001C5B2E">
        <w:rPr>
          <w:w w:val="105"/>
          <w:sz w:val="22"/>
          <w:szCs w:val="22"/>
          <w:lang w:val="ro-RO"/>
        </w:rPr>
        <w:t xml:space="preserve">fi </w:t>
      </w:r>
      <w:r w:rsidR="00A920F2" w:rsidRPr="001C5B2E">
        <w:rPr>
          <w:spacing w:val="24"/>
          <w:w w:val="105"/>
          <w:sz w:val="22"/>
          <w:szCs w:val="22"/>
          <w:lang w:val="ro-RO"/>
        </w:rPr>
        <w:t xml:space="preserve"> </w:t>
      </w:r>
      <w:r w:rsidR="00A920F2" w:rsidRPr="001C5B2E">
        <w:rPr>
          <w:w w:val="105"/>
          <w:sz w:val="22"/>
          <w:szCs w:val="22"/>
          <w:lang w:val="ro-RO"/>
        </w:rPr>
        <w:t xml:space="preserve">duse </w:t>
      </w:r>
      <w:r w:rsidR="00A920F2" w:rsidRPr="001C5B2E">
        <w:rPr>
          <w:spacing w:val="28"/>
          <w:w w:val="105"/>
          <w:sz w:val="22"/>
          <w:szCs w:val="22"/>
          <w:lang w:val="ro-RO"/>
        </w:rPr>
        <w:t xml:space="preserve"> </w:t>
      </w:r>
      <w:r w:rsidR="00A920F2" w:rsidRPr="001C5B2E">
        <w:rPr>
          <w:w w:val="105"/>
          <w:sz w:val="22"/>
          <w:szCs w:val="22"/>
          <w:lang w:val="ro-RO"/>
        </w:rPr>
        <w:t xml:space="preserve">la </w:t>
      </w:r>
      <w:r w:rsidR="00A920F2" w:rsidRPr="001C5B2E">
        <w:rPr>
          <w:spacing w:val="19"/>
          <w:w w:val="105"/>
          <w:sz w:val="22"/>
          <w:szCs w:val="22"/>
          <w:lang w:val="ro-RO"/>
        </w:rPr>
        <w:t xml:space="preserve"> </w:t>
      </w:r>
      <w:r w:rsidR="00A920F2" w:rsidRPr="001C5B2E">
        <w:rPr>
          <w:w w:val="105"/>
          <w:sz w:val="22"/>
          <w:szCs w:val="22"/>
          <w:lang w:val="ro-RO"/>
        </w:rPr>
        <w:t xml:space="preserve">îndeplinire </w:t>
      </w:r>
      <w:r w:rsidR="00A920F2" w:rsidRPr="001C5B2E">
        <w:rPr>
          <w:spacing w:val="39"/>
          <w:w w:val="105"/>
          <w:sz w:val="22"/>
          <w:szCs w:val="22"/>
          <w:lang w:val="ro-RO"/>
        </w:rPr>
        <w:t xml:space="preserve"> </w:t>
      </w:r>
      <w:r w:rsidR="00A920F2" w:rsidRPr="001C5B2E">
        <w:rPr>
          <w:w w:val="105"/>
          <w:sz w:val="22"/>
          <w:szCs w:val="22"/>
          <w:lang w:val="ro-RO"/>
        </w:rPr>
        <w:t xml:space="preserve">de </w:t>
      </w:r>
      <w:r w:rsidR="00A920F2" w:rsidRPr="001C5B2E">
        <w:rPr>
          <w:spacing w:val="23"/>
          <w:w w:val="105"/>
          <w:sz w:val="22"/>
          <w:szCs w:val="22"/>
          <w:lang w:val="ro-RO"/>
        </w:rPr>
        <w:t xml:space="preserve"> </w:t>
      </w:r>
      <w:r w:rsidR="00A920F2" w:rsidRPr="001C5B2E">
        <w:rPr>
          <w:w w:val="105"/>
          <w:sz w:val="22"/>
          <w:szCs w:val="22"/>
          <w:lang w:val="ro-RO"/>
        </w:rPr>
        <w:t>către</w:t>
      </w:r>
      <w:r w:rsidR="00A920F2">
        <w:rPr>
          <w:w w:val="105"/>
          <w:sz w:val="22"/>
          <w:szCs w:val="22"/>
          <w:lang w:val="ro-RO"/>
        </w:rPr>
        <w:t xml:space="preserve"> </w:t>
      </w:r>
      <w:r w:rsidR="004E3F6F">
        <w:rPr>
          <w:w w:val="105"/>
          <w:sz w:val="22"/>
          <w:szCs w:val="22"/>
          <w:lang w:val="ro-RO"/>
        </w:rPr>
        <w:t>primarul comunei Ion Creangă</w:t>
      </w:r>
      <w:r w:rsidR="00A920F2">
        <w:rPr>
          <w:w w:val="105"/>
          <w:sz w:val="22"/>
          <w:szCs w:val="22"/>
          <w:lang w:val="ro-RO"/>
        </w:rPr>
        <w:t xml:space="preserve"> și </w:t>
      </w:r>
      <w:r w:rsidR="00A920F2" w:rsidRPr="001C5B2E">
        <w:rPr>
          <w:w w:val="105"/>
          <w:sz w:val="22"/>
          <w:szCs w:val="22"/>
          <w:lang w:val="ro-RO"/>
        </w:rPr>
        <w:t>perso</w:t>
      </w:r>
      <w:r w:rsidR="00A920F2">
        <w:rPr>
          <w:w w:val="105"/>
          <w:sz w:val="22"/>
          <w:szCs w:val="22"/>
          <w:lang w:val="ro-RO"/>
        </w:rPr>
        <w:t>ana</w:t>
      </w:r>
      <w:r w:rsidR="00A920F2" w:rsidRPr="001C5B2E">
        <w:rPr>
          <w:w w:val="105"/>
          <w:sz w:val="22"/>
          <w:szCs w:val="22"/>
          <w:lang w:val="ro-RO"/>
        </w:rPr>
        <w:t xml:space="preserve"> nominalizat</w:t>
      </w:r>
      <w:r w:rsidR="00A920F2">
        <w:rPr>
          <w:w w:val="105"/>
          <w:sz w:val="22"/>
          <w:szCs w:val="22"/>
          <w:lang w:val="ro-RO"/>
        </w:rPr>
        <w:t>ă</w:t>
      </w:r>
      <w:r w:rsidR="00A920F2" w:rsidRPr="001C5B2E">
        <w:rPr>
          <w:spacing w:val="1"/>
          <w:w w:val="105"/>
          <w:sz w:val="22"/>
          <w:szCs w:val="22"/>
          <w:lang w:val="ro-RO"/>
        </w:rPr>
        <w:t xml:space="preserve"> </w:t>
      </w:r>
      <w:r w:rsidR="00A920F2" w:rsidRPr="001C5B2E">
        <w:rPr>
          <w:w w:val="105"/>
          <w:sz w:val="22"/>
          <w:szCs w:val="22"/>
          <w:lang w:val="ro-RO"/>
        </w:rPr>
        <w:t>la</w:t>
      </w:r>
      <w:r w:rsidR="00A920F2" w:rsidRPr="001C5B2E">
        <w:rPr>
          <w:spacing w:val="-8"/>
          <w:w w:val="105"/>
          <w:sz w:val="22"/>
          <w:szCs w:val="22"/>
          <w:lang w:val="ro-RO"/>
        </w:rPr>
        <w:t xml:space="preserve"> </w:t>
      </w:r>
      <w:r w:rsidR="00A920F2" w:rsidRPr="001C5B2E">
        <w:rPr>
          <w:w w:val="105"/>
          <w:sz w:val="22"/>
          <w:szCs w:val="22"/>
          <w:lang w:val="ro-RO"/>
        </w:rPr>
        <w:t>art.</w:t>
      </w:r>
      <w:r w:rsidR="00A920F2" w:rsidRPr="001C5B2E">
        <w:rPr>
          <w:spacing w:val="-6"/>
          <w:w w:val="105"/>
          <w:sz w:val="22"/>
          <w:szCs w:val="22"/>
          <w:lang w:val="ro-RO"/>
        </w:rPr>
        <w:t xml:space="preserve"> </w:t>
      </w:r>
      <w:r w:rsidR="00A920F2">
        <w:rPr>
          <w:w w:val="105"/>
          <w:sz w:val="22"/>
          <w:szCs w:val="22"/>
          <w:lang w:val="ro-RO"/>
        </w:rPr>
        <w:t>1</w:t>
      </w:r>
      <w:r w:rsidR="001C5B2E" w:rsidRPr="001C5B2E">
        <w:rPr>
          <w:w w:val="105"/>
          <w:sz w:val="22"/>
          <w:szCs w:val="22"/>
          <w:lang w:val="ro-RO"/>
        </w:rPr>
        <w:t>.</w:t>
      </w:r>
    </w:p>
    <w:p w14:paraId="0425CFED" w14:textId="321842EC" w:rsidR="00D7034C" w:rsidRPr="001C5B2E" w:rsidRDefault="00D7034C" w:rsidP="001C5B2E">
      <w:pPr>
        <w:spacing w:after="0"/>
        <w:jc w:val="both"/>
        <w:rPr>
          <w:rFonts w:ascii="Times New Roman" w:hAnsi="Times New Roman" w:cs="Times New Roman"/>
          <w:lang w:val="ro-RO"/>
        </w:rPr>
      </w:pPr>
      <w:r w:rsidRPr="001C5B2E">
        <w:rPr>
          <w:rFonts w:ascii="Times New Roman" w:hAnsi="Times New Roman" w:cs="Times New Roman"/>
          <w:lang w:val="ro-RO"/>
        </w:rPr>
        <w:tab/>
      </w:r>
      <w:r w:rsidRPr="001C5B2E">
        <w:rPr>
          <w:rFonts w:ascii="Times New Roman" w:hAnsi="Times New Roman" w:cs="Times New Roman"/>
          <w:b/>
          <w:bCs/>
          <w:lang w:val="ro-RO"/>
        </w:rPr>
        <w:t xml:space="preserve">Art. </w:t>
      </w:r>
      <w:r w:rsidR="00A920F2">
        <w:rPr>
          <w:rFonts w:ascii="Times New Roman" w:hAnsi="Times New Roman" w:cs="Times New Roman"/>
          <w:b/>
          <w:bCs/>
          <w:lang w:val="ro-RO"/>
        </w:rPr>
        <w:t>3</w:t>
      </w:r>
      <w:r w:rsidRPr="001C5B2E">
        <w:rPr>
          <w:rFonts w:ascii="Times New Roman" w:hAnsi="Times New Roman" w:cs="Times New Roman"/>
          <w:lang w:val="ro-RO"/>
        </w:rPr>
        <w:t xml:space="preserve"> Secretarul General al UAT Ion Creangă, va comunica prezenta instituțiilor, autorităților și persoanelor interesate.</w:t>
      </w:r>
    </w:p>
    <w:p w14:paraId="39A66AE0" w14:textId="77777777" w:rsidR="00D7034C" w:rsidRDefault="00D7034C" w:rsidP="001C5B2E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05EDA8F" w14:textId="77777777" w:rsidR="00D7034C" w:rsidRDefault="00D7034C" w:rsidP="00D7034C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11F368DC" w14:textId="77777777" w:rsidR="00D7034C" w:rsidRDefault="00D7034C" w:rsidP="00D7034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PRIMAR</w:t>
      </w:r>
    </w:p>
    <w:p w14:paraId="420A6948" w14:textId="77777777" w:rsidR="00D7034C" w:rsidRDefault="00D7034C" w:rsidP="00D7034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Dumitru-Dorin Tabacariu</w:t>
      </w:r>
    </w:p>
    <w:p w14:paraId="2475D330" w14:textId="77777777" w:rsidR="00D7034C" w:rsidRDefault="00D7034C" w:rsidP="00D7034C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57339EB8" w14:textId="77777777" w:rsidR="00D7034C" w:rsidRDefault="00D7034C" w:rsidP="00D7034C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Avizat ptr. Legalitate</w:t>
      </w:r>
    </w:p>
    <w:p w14:paraId="725CE137" w14:textId="77777777" w:rsidR="00D7034C" w:rsidRDefault="00D7034C" w:rsidP="00D7034C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Secretar General</w:t>
      </w:r>
    </w:p>
    <w:p w14:paraId="2F3AE477" w14:textId="67CC1639" w:rsidR="008441CA" w:rsidRPr="00A920F2" w:rsidRDefault="00D7034C" w:rsidP="00A920F2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Mihaela Niță</w:t>
      </w:r>
    </w:p>
    <w:sectPr w:rsidR="008441CA" w:rsidRPr="00A920F2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B6D0D"/>
    <w:multiLevelType w:val="hybridMultilevel"/>
    <w:tmpl w:val="2DDC9B70"/>
    <w:lvl w:ilvl="0" w:tplc="9A4CBA1A">
      <w:start w:val="2"/>
      <w:numFmt w:val="bullet"/>
      <w:lvlText w:val="-"/>
      <w:lvlJc w:val="left"/>
      <w:pPr>
        <w:ind w:left="3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" w15:restartNumberingAfterBreak="0">
    <w:nsid w:val="515322AF"/>
    <w:multiLevelType w:val="hybridMultilevel"/>
    <w:tmpl w:val="B04E4366"/>
    <w:lvl w:ilvl="0" w:tplc="2AF69878">
      <w:numFmt w:val="bullet"/>
      <w:lvlText w:val="-"/>
      <w:lvlJc w:val="left"/>
      <w:pPr>
        <w:ind w:left="251" w:hanging="138"/>
      </w:pPr>
      <w:rPr>
        <w:rFonts w:ascii="Times New Roman" w:eastAsia="Times New Roman" w:hAnsi="Times New Roman" w:cs="Times New Roman" w:hint="default"/>
        <w:w w:val="103"/>
      </w:rPr>
    </w:lvl>
    <w:lvl w:ilvl="1" w:tplc="C3F2900E">
      <w:numFmt w:val="bullet"/>
      <w:lvlText w:val="•"/>
      <w:lvlJc w:val="left"/>
      <w:pPr>
        <w:ind w:left="1162" w:hanging="138"/>
      </w:pPr>
      <w:rPr>
        <w:rFonts w:hint="default"/>
      </w:rPr>
    </w:lvl>
    <w:lvl w:ilvl="2" w:tplc="EBA80BE4">
      <w:numFmt w:val="bullet"/>
      <w:lvlText w:val="•"/>
      <w:lvlJc w:val="left"/>
      <w:pPr>
        <w:ind w:left="2064" w:hanging="138"/>
      </w:pPr>
      <w:rPr>
        <w:rFonts w:hint="default"/>
      </w:rPr>
    </w:lvl>
    <w:lvl w:ilvl="3" w:tplc="6C50C296">
      <w:numFmt w:val="bullet"/>
      <w:lvlText w:val="•"/>
      <w:lvlJc w:val="left"/>
      <w:pPr>
        <w:ind w:left="2966" w:hanging="138"/>
      </w:pPr>
      <w:rPr>
        <w:rFonts w:hint="default"/>
      </w:rPr>
    </w:lvl>
    <w:lvl w:ilvl="4" w:tplc="79E26B1A">
      <w:numFmt w:val="bullet"/>
      <w:lvlText w:val="•"/>
      <w:lvlJc w:val="left"/>
      <w:pPr>
        <w:ind w:left="3868" w:hanging="138"/>
      </w:pPr>
      <w:rPr>
        <w:rFonts w:hint="default"/>
      </w:rPr>
    </w:lvl>
    <w:lvl w:ilvl="5" w:tplc="49E08678">
      <w:numFmt w:val="bullet"/>
      <w:lvlText w:val="•"/>
      <w:lvlJc w:val="left"/>
      <w:pPr>
        <w:ind w:left="4770" w:hanging="138"/>
      </w:pPr>
      <w:rPr>
        <w:rFonts w:hint="default"/>
      </w:rPr>
    </w:lvl>
    <w:lvl w:ilvl="6" w:tplc="306297A2">
      <w:numFmt w:val="bullet"/>
      <w:lvlText w:val="•"/>
      <w:lvlJc w:val="left"/>
      <w:pPr>
        <w:ind w:left="5672" w:hanging="138"/>
      </w:pPr>
      <w:rPr>
        <w:rFonts w:hint="default"/>
      </w:rPr>
    </w:lvl>
    <w:lvl w:ilvl="7" w:tplc="BBAEB0BE">
      <w:numFmt w:val="bullet"/>
      <w:lvlText w:val="•"/>
      <w:lvlJc w:val="left"/>
      <w:pPr>
        <w:ind w:left="6574" w:hanging="138"/>
      </w:pPr>
      <w:rPr>
        <w:rFonts w:hint="default"/>
      </w:rPr>
    </w:lvl>
    <w:lvl w:ilvl="8" w:tplc="17D6BA34">
      <w:numFmt w:val="bullet"/>
      <w:lvlText w:val="•"/>
      <w:lvlJc w:val="left"/>
      <w:pPr>
        <w:ind w:left="7476" w:hanging="138"/>
      </w:pPr>
      <w:rPr>
        <w:rFonts w:hint="default"/>
      </w:rPr>
    </w:lvl>
  </w:abstractNum>
  <w:num w:numId="1" w16cid:durableId="1134104293">
    <w:abstractNumId w:val="1"/>
  </w:num>
  <w:num w:numId="2" w16cid:durableId="323046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61"/>
    <w:rsid w:val="00166D39"/>
    <w:rsid w:val="001C5B2E"/>
    <w:rsid w:val="00355EFA"/>
    <w:rsid w:val="003B59E9"/>
    <w:rsid w:val="004E3F6F"/>
    <w:rsid w:val="00547571"/>
    <w:rsid w:val="005707DF"/>
    <w:rsid w:val="005B2C61"/>
    <w:rsid w:val="0065566B"/>
    <w:rsid w:val="007C0D37"/>
    <w:rsid w:val="007D10E5"/>
    <w:rsid w:val="008441CA"/>
    <w:rsid w:val="008F7629"/>
    <w:rsid w:val="009320CF"/>
    <w:rsid w:val="00947CD0"/>
    <w:rsid w:val="00A920F2"/>
    <w:rsid w:val="00AF10A8"/>
    <w:rsid w:val="00B1734F"/>
    <w:rsid w:val="00BE06B1"/>
    <w:rsid w:val="00C32145"/>
    <w:rsid w:val="00CF3547"/>
    <w:rsid w:val="00D316F4"/>
    <w:rsid w:val="00D7034C"/>
    <w:rsid w:val="00ED0E0B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32042"/>
  <w15:chartTrackingRefBased/>
  <w15:docId w15:val="{1801EDDD-5EAB-4E1C-AEAC-719152DD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C5B2E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C5B2E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paragraph" w:styleId="ListParagraph">
    <w:name w:val="List Paragraph"/>
    <w:basedOn w:val="Normal"/>
    <w:uiPriority w:val="1"/>
    <w:qFormat/>
    <w:rsid w:val="001C5B2E"/>
    <w:pPr>
      <w:widowControl w:val="0"/>
      <w:autoSpaceDE w:val="0"/>
      <w:autoSpaceDN w:val="0"/>
      <w:spacing w:after="0" w:line="240" w:lineRule="auto"/>
      <w:ind w:left="263" w:hanging="145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6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4</cp:revision>
  <cp:lastPrinted>2023-09-18T07:33:00Z</cp:lastPrinted>
  <dcterms:created xsi:type="dcterms:W3CDTF">2023-09-18T06:54:00Z</dcterms:created>
  <dcterms:modified xsi:type="dcterms:W3CDTF">2023-09-18T07:40:00Z</dcterms:modified>
</cp:coreProperties>
</file>