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4B1B6" w14:textId="77777777" w:rsidR="000E7E47" w:rsidRDefault="000E7E47" w:rsidP="00C832B5">
      <w:pPr>
        <w:spacing w:after="0"/>
        <w:ind w:firstLine="709"/>
        <w:jc w:val="both"/>
        <w:rPr>
          <w:b/>
          <w:bCs/>
        </w:rPr>
      </w:pPr>
    </w:p>
    <w:p w14:paraId="18127BDF" w14:textId="77777777" w:rsidR="000E7E47" w:rsidRDefault="00A0237A" w:rsidP="00D07103">
      <w:pPr>
        <w:spacing w:after="0"/>
        <w:ind w:firstLine="709"/>
        <w:jc w:val="center"/>
        <w:rPr>
          <w:b/>
          <w:bCs/>
        </w:rPr>
      </w:pPr>
      <w:r>
        <w:rPr>
          <w:b/>
          <w:bCs/>
        </w:rPr>
        <w:t>Bune practici privind utilizarea durabilă</w:t>
      </w:r>
    </w:p>
    <w:p w14:paraId="1826CB18" w14:textId="77777777" w:rsidR="002603C4" w:rsidRPr="009003B6" w:rsidRDefault="00A0237A" w:rsidP="000E7E47">
      <w:pPr>
        <w:spacing w:after="0"/>
        <w:ind w:firstLine="709"/>
        <w:jc w:val="center"/>
        <w:rPr>
          <w:b/>
          <w:bCs/>
        </w:rPr>
      </w:pPr>
      <w:r>
        <w:rPr>
          <w:b/>
          <w:bCs/>
        </w:rPr>
        <w:t xml:space="preserve">a </w:t>
      </w:r>
      <w:r w:rsidR="002603C4" w:rsidRPr="009003B6">
        <w:rPr>
          <w:b/>
          <w:bCs/>
        </w:rPr>
        <w:t xml:space="preserve"> produselor de protecție a plantelor</w:t>
      </w:r>
    </w:p>
    <w:p w14:paraId="234A0A39" w14:textId="77777777" w:rsidR="002603C4" w:rsidRDefault="002603C4" w:rsidP="00C832B5">
      <w:pPr>
        <w:spacing w:after="0"/>
        <w:ind w:firstLine="709"/>
        <w:jc w:val="both"/>
      </w:pPr>
    </w:p>
    <w:p w14:paraId="6A76F084" w14:textId="77777777" w:rsidR="0054721D" w:rsidRPr="00024984" w:rsidRDefault="0054721D" w:rsidP="00C832B5">
      <w:pPr>
        <w:spacing w:after="0"/>
        <w:ind w:firstLine="709"/>
        <w:jc w:val="both"/>
      </w:pPr>
      <w:r w:rsidRPr="00024984">
        <w:t>Fermierii care prin activitatea lor depozitează, manipulează şi utilizează produse de protecţie a plantelor au următoarele obligaţii:</w:t>
      </w:r>
    </w:p>
    <w:p w14:paraId="6FF5E08D" w14:textId="77777777" w:rsidR="00E7405A" w:rsidRDefault="00E7405A" w:rsidP="00C832B5">
      <w:pPr>
        <w:spacing w:after="0"/>
        <w:jc w:val="both"/>
      </w:pPr>
      <w:r>
        <w:t xml:space="preserve">● </w:t>
      </w:r>
      <w:r w:rsidR="00325FE6">
        <w:t>s</w:t>
      </w:r>
      <w:r w:rsidR="0054721D" w:rsidRPr="00024984">
        <w:t>ă utilizeze numai produse de protecţie a plantelor omologate de Comisia Națională de Omologare a Produselor de Protecţie a Plantelor</w:t>
      </w:r>
      <w:r w:rsidR="003C6C33">
        <w:t>;</w:t>
      </w:r>
    </w:p>
    <w:p w14:paraId="46B470F1" w14:textId="77777777" w:rsidR="00325FE6" w:rsidRDefault="00E7405A" w:rsidP="00C832B5">
      <w:pPr>
        <w:spacing w:after="0"/>
        <w:jc w:val="both"/>
      </w:pPr>
      <w:r>
        <w:t>●</w:t>
      </w:r>
      <w:r w:rsidR="003C6C33" w:rsidRPr="00024984">
        <w:t xml:space="preserve"> </w:t>
      </w:r>
      <w:r w:rsidR="0054721D" w:rsidRPr="00024984">
        <w:t>să respecte instrucțiunile de utilizare înscrise pe eticheta produs</w:t>
      </w:r>
      <w:r w:rsidR="003C6C33">
        <w:t>ului</w:t>
      </w:r>
      <w:r w:rsidR="0054721D" w:rsidRPr="00024984">
        <w:t xml:space="preserve"> de protecţie a plantelor și</w:t>
      </w:r>
      <w:r w:rsidR="003C6C33">
        <w:t xml:space="preserve"> informațiile</w:t>
      </w:r>
      <w:r w:rsidR="0054721D" w:rsidRPr="00024984">
        <w:t xml:space="preserve"> din baza de date PESTEXPERT, respectiv  doza omologată, cultura, </w:t>
      </w:r>
      <w:r w:rsidR="00690EE6" w:rsidRPr="00024984">
        <w:t>organismul</w:t>
      </w:r>
      <w:r w:rsidR="0054721D" w:rsidRPr="00024984">
        <w:t xml:space="preserve"> </w:t>
      </w:r>
      <w:r w:rsidR="003C6C33">
        <w:t>dăunător (boli, dăunători, buruieni)</w:t>
      </w:r>
      <w:r w:rsidR="0054721D" w:rsidRPr="00024984">
        <w:t xml:space="preserve"> și momentul aplicării</w:t>
      </w:r>
      <w:r w:rsidR="00325FE6">
        <w:t>;</w:t>
      </w:r>
      <w:r w:rsidR="0054721D" w:rsidRPr="00024984">
        <w:t xml:space="preserve"> </w:t>
      </w:r>
    </w:p>
    <w:p w14:paraId="135DA0CD" w14:textId="77777777" w:rsidR="0054721D" w:rsidRPr="00024984" w:rsidRDefault="00E7405A" w:rsidP="00C832B5">
      <w:pPr>
        <w:spacing w:after="0"/>
        <w:jc w:val="both"/>
      </w:pPr>
      <w:r>
        <w:t xml:space="preserve">● </w:t>
      </w:r>
      <w:r w:rsidR="00325FE6">
        <w:t>s</w:t>
      </w:r>
      <w:r w:rsidR="00690EE6" w:rsidRPr="00024984">
        <w:t xml:space="preserve">ă </w:t>
      </w:r>
      <w:r w:rsidR="000E7E47">
        <w:t xml:space="preserve">respecte recomandările din </w:t>
      </w:r>
      <w:r w:rsidR="00690EE6" w:rsidRPr="00024984">
        <w:t xml:space="preserve">buletinele de prognoză și avertizare </w:t>
      </w:r>
      <w:r w:rsidR="003C6C33">
        <w:t>trans</w:t>
      </w:r>
      <w:r w:rsidR="00690EE6" w:rsidRPr="00024984">
        <w:t>mise de către oficiile fitosanitare județene</w:t>
      </w:r>
      <w:r w:rsidR="00325FE6">
        <w:t>;</w:t>
      </w:r>
    </w:p>
    <w:p w14:paraId="09EE8462" w14:textId="77777777" w:rsidR="00325FE6" w:rsidRDefault="00E7405A" w:rsidP="00C832B5">
      <w:pPr>
        <w:spacing w:after="0"/>
        <w:jc w:val="both"/>
      </w:pPr>
      <w:r>
        <w:t xml:space="preserve">● </w:t>
      </w:r>
      <w:r w:rsidR="00325FE6">
        <w:t>s</w:t>
      </w:r>
      <w:r w:rsidR="003C6C33">
        <w:t>ă</w:t>
      </w:r>
      <w:r w:rsidR="00325FE6">
        <w:t xml:space="preserve"> a</w:t>
      </w:r>
      <w:r w:rsidR="00C6475E" w:rsidRPr="00024984">
        <w:t>chizițion</w:t>
      </w:r>
      <w:r w:rsidR="00325FE6">
        <w:t xml:space="preserve">eze </w:t>
      </w:r>
      <w:r w:rsidR="00C6475E" w:rsidRPr="00024984">
        <w:t xml:space="preserve"> produse</w:t>
      </w:r>
      <w:r w:rsidR="00BE4910" w:rsidRPr="00024984">
        <w:t xml:space="preserve"> numai</w:t>
      </w:r>
      <w:r w:rsidR="00C6475E" w:rsidRPr="00024984">
        <w:t xml:space="preserve"> </w:t>
      </w:r>
      <w:r w:rsidR="00BE4910" w:rsidRPr="00024984">
        <w:t>cu</w:t>
      </w:r>
      <w:r w:rsidR="00C6475E" w:rsidRPr="00024984">
        <w:t xml:space="preserve"> factu</w:t>
      </w:r>
      <w:r w:rsidR="00D07103">
        <w:t>r</w:t>
      </w:r>
      <w:r w:rsidR="000E7E47">
        <w:t>ă</w:t>
      </w:r>
      <w:r w:rsidR="00C6475E" w:rsidRPr="00024984">
        <w:t xml:space="preserve"> </w:t>
      </w:r>
      <w:r w:rsidR="003C6C33">
        <w:t>și</w:t>
      </w:r>
      <w:r w:rsidR="00C6475E" w:rsidRPr="00024984">
        <w:t xml:space="preserve"> de la comercianți</w:t>
      </w:r>
      <w:r w:rsidR="00BE4910" w:rsidRPr="00024984">
        <w:t>i</w:t>
      </w:r>
      <w:r w:rsidR="00C6475E" w:rsidRPr="00024984">
        <w:t xml:space="preserve"> care sunt autoriza</w:t>
      </w:r>
      <w:r w:rsidR="003C6C33">
        <w:t>ț</w:t>
      </w:r>
      <w:r w:rsidR="00C6475E" w:rsidRPr="00024984">
        <w:t>i de c</w:t>
      </w:r>
      <w:r w:rsidR="003C6C33">
        <w:t>ă</w:t>
      </w:r>
      <w:r w:rsidR="00C6475E" w:rsidRPr="00024984">
        <w:t>tre oficiul fitosanitar jude</w:t>
      </w:r>
      <w:r w:rsidR="003C6C33">
        <w:t>ț</w:t>
      </w:r>
      <w:r w:rsidR="00C6475E" w:rsidRPr="00024984">
        <w:t>ean</w:t>
      </w:r>
      <w:r w:rsidR="00325FE6">
        <w:t>;</w:t>
      </w:r>
    </w:p>
    <w:p w14:paraId="1E596803" w14:textId="77777777" w:rsidR="00C6475E" w:rsidRPr="00024984" w:rsidRDefault="00E7405A" w:rsidP="00C832B5">
      <w:pPr>
        <w:spacing w:after="0"/>
        <w:jc w:val="both"/>
      </w:pPr>
      <w:r>
        <w:t xml:space="preserve">● </w:t>
      </w:r>
      <w:r w:rsidR="003C6C33">
        <w:t xml:space="preserve">să utilizeze numai </w:t>
      </w:r>
      <w:r w:rsidR="00325FE6">
        <w:t>p</w:t>
      </w:r>
      <w:r w:rsidR="00BE4910" w:rsidRPr="00024984">
        <w:t xml:space="preserve">roduse </w:t>
      </w:r>
      <w:r w:rsidR="00325FE6">
        <w:t xml:space="preserve">de protecție a plantelor </w:t>
      </w:r>
      <w:r w:rsidR="003C6C33">
        <w:t xml:space="preserve">cu </w:t>
      </w:r>
      <w:r w:rsidR="00BE4910" w:rsidRPr="00024984">
        <w:t xml:space="preserve">eticheta </w:t>
      </w:r>
      <w:r w:rsidR="003C6C33">
        <w:t>în</w:t>
      </w:r>
      <w:r w:rsidR="00BE4910" w:rsidRPr="00024984">
        <w:t xml:space="preserve"> limba română</w:t>
      </w:r>
      <w:r w:rsidR="003C6C33">
        <w:t>;</w:t>
      </w:r>
      <w:r w:rsidR="003C6C33" w:rsidRPr="00024984">
        <w:t xml:space="preserve"> </w:t>
      </w:r>
    </w:p>
    <w:p w14:paraId="66F80EB5" w14:textId="77777777" w:rsidR="003C6C33" w:rsidRDefault="00CE2838" w:rsidP="00C832B5">
      <w:pPr>
        <w:spacing w:after="0"/>
        <w:jc w:val="both"/>
      </w:pPr>
      <w:r>
        <w:t>● s</w:t>
      </w:r>
      <w:r w:rsidR="00C50C49">
        <w:t xml:space="preserve">ă </w:t>
      </w:r>
      <w:r w:rsidR="003C6C33">
        <w:t>u</w:t>
      </w:r>
      <w:r w:rsidR="00BE4910" w:rsidRPr="00024984">
        <w:t>t</w:t>
      </w:r>
      <w:r w:rsidR="009E437D">
        <w:t>il</w:t>
      </w:r>
      <w:r w:rsidR="00BE4910" w:rsidRPr="00024984">
        <w:t>iz</w:t>
      </w:r>
      <w:r w:rsidR="00C50C49">
        <w:t xml:space="preserve">eze </w:t>
      </w:r>
      <w:r w:rsidR="00BE4910" w:rsidRPr="00024984">
        <w:t>produse</w:t>
      </w:r>
      <w:r w:rsidR="003C6C33">
        <w:t xml:space="preserve">le </w:t>
      </w:r>
      <w:r w:rsidR="00BE4910" w:rsidRPr="00024984">
        <w:t>alternativ</w:t>
      </w:r>
      <w:r w:rsidR="00C50C49">
        <w:t xml:space="preserve"> </w:t>
      </w:r>
      <w:r w:rsidR="00BE4910" w:rsidRPr="00024984">
        <w:t>contact</w:t>
      </w:r>
      <w:r w:rsidR="003C6C33">
        <w:t>/</w:t>
      </w:r>
      <w:r w:rsidR="00BE4910" w:rsidRPr="00024984">
        <w:t>sistemice</w:t>
      </w:r>
      <w:r w:rsidR="003C6C33">
        <w:t xml:space="preserve"> și </w:t>
      </w:r>
      <w:r w:rsidR="00C50C49">
        <w:t xml:space="preserve">șă </w:t>
      </w:r>
      <w:r w:rsidR="004A6A8E" w:rsidRPr="00024984">
        <w:t>nu utiliz</w:t>
      </w:r>
      <w:r w:rsidR="00C50C49">
        <w:t>eze</w:t>
      </w:r>
      <w:r w:rsidR="004A6A8E" w:rsidRPr="00024984">
        <w:t xml:space="preserve"> </w:t>
      </w:r>
      <w:r w:rsidR="003C6C33">
        <w:t>același produs la următorul tratament fitosanitar pentru a nu se crea rezistență la boli, dăunători și buru</w:t>
      </w:r>
      <w:r w:rsidR="000E7E47">
        <w:t>i</w:t>
      </w:r>
      <w:r w:rsidR="003C6C33">
        <w:t>eni;</w:t>
      </w:r>
      <w:r w:rsidR="003C6C33" w:rsidRPr="00024984">
        <w:t xml:space="preserve"> </w:t>
      </w:r>
    </w:p>
    <w:p w14:paraId="6FDBC075" w14:textId="5A5F5109" w:rsidR="00D72B35" w:rsidRDefault="004A6A8E" w:rsidP="00C832B5">
      <w:pPr>
        <w:spacing w:after="0"/>
        <w:jc w:val="both"/>
      </w:pPr>
      <w:r w:rsidRPr="00024984">
        <w:t xml:space="preserve"> </w:t>
      </w:r>
      <w:r w:rsidR="00CE2838">
        <w:t xml:space="preserve">● </w:t>
      </w:r>
      <w:r w:rsidR="00E32080" w:rsidRPr="00024984">
        <w:t>să aplice principiile de combatere integrată a organismelor dăunătoare la toate culturile</w:t>
      </w:r>
      <w:r w:rsidR="00D72B35">
        <w:t xml:space="preserve"> prin:</w:t>
      </w:r>
    </w:p>
    <w:p w14:paraId="342A5940" w14:textId="16589316" w:rsidR="00FD0DEF" w:rsidRPr="0007139F" w:rsidRDefault="00D72B35" w:rsidP="00644DD0">
      <w:pPr>
        <w:tabs>
          <w:tab w:val="left" w:pos="567"/>
        </w:tabs>
        <w:spacing w:after="0"/>
      </w:pPr>
      <w:r w:rsidRPr="00D72B35">
        <w:rPr>
          <w:rFonts w:ascii="Times New Roman" w:hAnsi="Times New Roman" w:cs="Times New Roman"/>
          <w:color w:val="000000"/>
          <w:kern w:val="2"/>
          <w:lang w:val="en-GB"/>
          <w14:ligatures w14:val="standardContextual"/>
        </w:rPr>
        <w:t> </w:t>
      </w:r>
      <w:r w:rsidRPr="00D72B35">
        <w:rPr>
          <w:rFonts w:ascii="Times New Roman" w:hAnsi="Times New Roman" w:cs="Times New Roman"/>
          <w:color w:val="000000"/>
          <w:kern w:val="2"/>
          <w:lang w:val="en-GB"/>
          <w14:ligatures w14:val="standardContextual"/>
        </w:rPr>
        <w:t> </w:t>
      </w:r>
      <w:r w:rsidR="009C5D46">
        <w:t>-</w:t>
      </w:r>
      <w:r w:rsidR="002940A2">
        <w:t xml:space="preserve"> </w:t>
      </w:r>
      <w:r w:rsidRPr="00D72B35">
        <w:t>rotaţia</w:t>
      </w:r>
      <w:r w:rsidR="002940A2">
        <w:t xml:space="preserve"> </w:t>
      </w:r>
      <w:r w:rsidRPr="00D72B35">
        <w:t>culturilor;</w:t>
      </w:r>
      <w:r w:rsidRPr="00D72B35">
        <w:br/>
      </w:r>
      <w:r w:rsidRPr="00D72B35">
        <w:t> </w:t>
      </w:r>
      <w:r w:rsidRPr="00D72B35">
        <w:t> </w:t>
      </w:r>
      <w:r w:rsidR="009C5D46">
        <w:t xml:space="preserve">- </w:t>
      </w:r>
      <w:r w:rsidRPr="00D72B35">
        <w:t>utilizarea unor tehnici de cultivare adecvate (de exemplu, tehnica semănatului tardiv, datele şi densităţile semănatului, subînsămânţarea, aratul de conservare, curăţarea şi însămânţarea directă);</w:t>
      </w:r>
      <w:r w:rsidRPr="0007139F">
        <w:t xml:space="preserve"> </w:t>
      </w:r>
      <w:r w:rsidRPr="00D72B35">
        <w:br/>
      </w:r>
      <w:r w:rsidRPr="00D72B35">
        <w:t> </w:t>
      </w:r>
      <w:r w:rsidRPr="00D72B35">
        <w:t> </w:t>
      </w:r>
      <w:r w:rsidR="009C5D46">
        <w:t xml:space="preserve">- </w:t>
      </w:r>
      <w:r w:rsidRPr="00D72B35">
        <w:t>utilizarea, după caz, a varietăţilor rezistente/tolerante, precum şi a seminţelor şi a materialului săditor standard/certificat;</w:t>
      </w:r>
      <w:r w:rsidRPr="00D72B35">
        <w:br/>
      </w:r>
      <w:r w:rsidRPr="00D72B35">
        <w:t> </w:t>
      </w:r>
      <w:r w:rsidRPr="00D72B35">
        <w:t> </w:t>
      </w:r>
      <w:r w:rsidR="009C5D46">
        <w:t xml:space="preserve">- </w:t>
      </w:r>
      <w:r w:rsidRPr="00D72B35">
        <w:t>utilizarea fertilizării echilibrate, a unor practici de stropire cu var şi de irigare/drenare;</w:t>
      </w:r>
      <w:r w:rsidRPr="00D72B35">
        <w:br/>
      </w:r>
      <w:r w:rsidRPr="00D72B35">
        <w:t> </w:t>
      </w:r>
      <w:r w:rsidRPr="00D72B35">
        <w:t> </w:t>
      </w:r>
      <w:r w:rsidR="009C5D46">
        <w:t xml:space="preserve">- </w:t>
      </w:r>
      <w:r w:rsidRPr="00D72B35">
        <w:t>prevenirea răspândirii organismelor dăunătoare prin măsuri de igienă (de exemplu, prin curăţarea permanentă a maşinilor şi a echipamentului);</w:t>
      </w:r>
      <w:r w:rsidRPr="00D72B35">
        <w:br/>
      </w:r>
      <w:r w:rsidRPr="00D72B35">
        <w:t> </w:t>
      </w:r>
      <w:r w:rsidRPr="00D72B35">
        <w:t> </w:t>
      </w:r>
      <w:r w:rsidR="009C5D46">
        <w:t xml:space="preserve">- </w:t>
      </w:r>
      <w:r w:rsidRPr="00D72B35">
        <w:t>protejarea şi răspândirea organismelor benefice importante (de exemplu, prin măsuri adecvate de protejare a plantelor sau prin utilizarea infrastructurilor ecologice înăuntrul şi în afara locurilor de producţie)</w:t>
      </w:r>
      <w:r w:rsidR="0007139F" w:rsidRPr="0007139F">
        <w:t>;</w:t>
      </w:r>
    </w:p>
    <w:p w14:paraId="332445E2" w14:textId="1091BC77" w:rsidR="00FD0DEF" w:rsidRPr="0007139F" w:rsidRDefault="00FD0DEF" w:rsidP="00CE44C9">
      <w:pPr>
        <w:tabs>
          <w:tab w:val="left" w:pos="284"/>
        </w:tabs>
        <w:spacing w:after="0"/>
        <w:jc w:val="both"/>
      </w:pPr>
      <w:r w:rsidRPr="0007139F">
        <w:t xml:space="preserve">       </w:t>
      </w:r>
      <w:r w:rsidR="009C5D46">
        <w:t>-</w:t>
      </w:r>
      <w:r w:rsidRPr="0007139F">
        <w:t xml:space="preserve"> monitorizarea o</w:t>
      </w:r>
      <w:r w:rsidR="00D72B35" w:rsidRPr="00D72B35">
        <w:t>rganismel</w:t>
      </w:r>
      <w:r w:rsidRPr="0007139F">
        <w:t>or</w:t>
      </w:r>
      <w:r w:rsidR="00D72B35" w:rsidRPr="00D72B35">
        <w:t xml:space="preserve"> dăunătoare cu ajutorul unor metode şi instrumente adecvate, atunci când acestea sunt disponibile. Printre instrumentele adecvate ar trebui să se numere observaţiile efectuate în câmp, precum şi sistemele fiabile din punct de vedere ştiinţific pentru avertizare sonoră, prognoză şi diagnoză timpurie, atunci când este posibil, precum şi apelarea la consultanţă din partea unor profesionişti calificaţi</w:t>
      </w:r>
      <w:r w:rsidR="0007139F" w:rsidRPr="0007139F">
        <w:t>;</w:t>
      </w:r>
    </w:p>
    <w:p w14:paraId="50432ED8" w14:textId="6DD21024" w:rsidR="0007139F" w:rsidRPr="0007139F" w:rsidRDefault="00FD0DEF" w:rsidP="00644DD0">
      <w:pPr>
        <w:tabs>
          <w:tab w:val="left" w:pos="284"/>
          <w:tab w:val="left" w:pos="567"/>
        </w:tabs>
        <w:spacing w:after="0"/>
      </w:pPr>
      <w:r w:rsidRPr="0007139F">
        <w:tab/>
      </w:r>
      <w:r w:rsidR="00292F31" w:rsidRPr="0007139F">
        <w:t xml:space="preserve">    </w:t>
      </w:r>
      <w:r w:rsidR="009C5D46">
        <w:t>-</w:t>
      </w:r>
      <w:r w:rsidRPr="0007139F">
        <w:t xml:space="preserve"> </w:t>
      </w:r>
      <w:r w:rsidR="00292F31" w:rsidRPr="0007139F">
        <w:t>analiza</w:t>
      </w:r>
      <w:r w:rsidR="00D72B35" w:rsidRPr="00D72B35">
        <w:t xml:space="preserve"> rezultatelor monitorizării, utilizatorul profesionist trebuie să decidă dacă şi când să aplice măsurile de protecţie a plantelor. Valorile-limită solide şi fiabile din punct de vedere ştiinţific sunt componente esenţiale în procesul de </w:t>
      </w:r>
      <w:r w:rsidR="00D72B35" w:rsidRPr="00D72B35">
        <w:lastRenderedPageBreak/>
        <w:t>luare a deciziilor. Pentru organismele dăunătoare, valorile-limită stabilite pentru regiunea în cauză, zonele specifice, culturile şi condiţiile climaterice speciale trebuie luate în considerare înainte de aplicarea tratamentelor, atunci când acest lucru este posibil</w:t>
      </w:r>
      <w:r w:rsidR="0007139F" w:rsidRPr="0007139F">
        <w:t>;</w:t>
      </w:r>
      <w:r w:rsidR="00D72B35" w:rsidRPr="00D72B35">
        <w:br/>
      </w:r>
      <w:r w:rsidR="00D72B35" w:rsidRPr="00D72B35">
        <w:t> </w:t>
      </w:r>
      <w:r w:rsidR="00292F31" w:rsidRPr="0007139F">
        <w:t xml:space="preserve">     </w:t>
      </w:r>
      <w:r w:rsidR="009C5D46">
        <w:t xml:space="preserve">- </w:t>
      </w:r>
      <w:r w:rsidR="00292F31" w:rsidRPr="0007139F">
        <w:t>utilizarea m</w:t>
      </w:r>
      <w:r w:rsidR="00D72B35" w:rsidRPr="00D72B35">
        <w:t>etodel</w:t>
      </w:r>
      <w:r w:rsidR="00292F31" w:rsidRPr="0007139F">
        <w:t>or</w:t>
      </w:r>
      <w:r w:rsidR="00D72B35" w:rsidRPr="00D72B35">
        <w:t xml:space="preserve"> durabile biologice, fizice şi alte metode nechimice trebuie preferate metodelor chimice, dacă acestea asigură un control corespunzător al</w:t>
      </w:r>
      <w:r w:rsidR="002940A2">
        <w:t xml:space="preserve"> </w:t>
      </w:r>
      <w:r w:rsidR="00D72B35" w:rsidRPr="00D72B35">
        <w:t>dăunătorilor</w:t>
      </w:r>
      <w:r w:rsidR="0007139F" w:rsidRPr="0007139F">
        <w:t>;</w:t>
      </w:r>
      <w:r w:rsidR="00D72B35" w:rsidRPr="00D72B35">
        <w:br/>
      </w:r>
      <w:r w:rsidR="00D72B35" w:rsidRPr="00D72B35">
        <w:t> </w:t>
      </w:r>
      <w:r w:rsidR="00D72B35" w:rsidRPr="00D72B35">
        <w:t> </w:t>
      </w:r>
      <w:r w:rsidR="00292F31" w:rsidRPr="0007139F">
        <w:t xml:space="preserve"> </w:t>
      </w:r>
      <w:r w:rsidR="009C5D46">
        <w:t>-</w:t>
      </w:r>
      <w:r w:rsidR="00292F31" w:rsidRPr="0007139F">
        <w:t xml:space="preserve"> aplicarea </w:t>
      </w:r>
      <w:r w:rsidR="00437427">
        <w:t>produselor de protecție a plantelor</w:t>
      </w:r>
      <w:r w:rsidR="00D72B35" w:rsidRPr="00D72B35">
        <w:t xml:space="preserve"> să fie cât se poate de </w:t>
      </w:r>
      <w:r w:rsidR="00292F31" w:rsidRPr="0007139F">
        <w:t>selective</w:t>
      </w:r>
      <w:r w:rsidR="00D72B35" w:rsidRPr="00D72B35">
        <w:t xml:space="preserve"> pentru ţinta vizată şi trebuie să aibă efecte secundare minime asupra sănătăţii umane, asupra organismelor-neţintă şi asupra mediului</w:t>
      </w:r>
      <w:r w:rsidR="0007139F" w:rsidRPr="0007139F">
        <w:t xml:space="preserve">; </w:t>
      </w:r>
    </w:p>
    <w:p w14:paraId="6B475878" w14:textId="63DA5E55" w:rsidR="0007139F" w:rsidRPr="0007139F" w:rsidRDefault="0007139F" w:rsidP="00CE44C9">
      <w:pPr>
        <w:tabs>
          <w:tab w:val="left" w:pos="284"/>
          <w:tab w:val="left" w:pos="567"/>
        </w:tabs>
        <w:spacing w:after="0"/>
        <w:jc w:val="both"/>
      </w:pPr>
      <w:r w:rsidRPr="0007139F">
        <w:tab/>
      </w:r>
      <w:r w:rsidRPr="0007139F">
        <w:tab/>
      </w:r>
      <w:r w:rsidR="009C5D46">
        <w:t>-</w:t>
      </w:r>
      <w:r w:rsidR="00D72B35" w:rsidRPr="00D72B35">
        <w:t xml:space="preserve"> menţin</w:t>
      </w:r>
      <w:r w:rsidRPr="0007139F">
        <w:t>erea</w:t>
      </w:r>
      <w:r w:rsidR="00D72B35" w:rsidRPr="00D72B35">
        <w:t xml:space="preserve"> utiliz</w:t>
      </w:r>
      <w:r w:rsidRPr="0007139F">
        <w:t>ă</w:t>
      </w:r>
      <w:r w:rsidR="00437427">
        <w:t>r</w:t>
      </w:r>
      <w:r w:rsidRPr="0007139F">
        <w:t>ii</w:t>
      </w:r>
      <w:r w:rsidR="00D72B35" w:rsidRPr="00D72B35">
        <w:t xml:space="preserve"> </w:t>
      </w:r>
      <w:r w:rsidR="00437427">
        <w:t>produselor de protecție a plantelor</w:t>
      </w:r>
      <w:r w:rsidR="00D72B35" w:rsidRPr="00D72B35">
        <w:t xml:space="preserve"> şi </w:t>
      </w:r>
      <w:r w:rsidRPr="0007139F">
        <w:t xml:space="preserve">a </w:t>
      </w:r>
      <w:r w:rsidR="00D72B35" w:rsidRPr="00D72B35">
        <w:t>alt</w:t>
      </w:r>
      <w:r w:rsidRPr="0007139F">
        <w:t>or</w:t>
      </w:r>
      <w:r w:rsidR="00D72B35" w:rsidRPr="00D72B35">
        <w:t xml:space="preserve"> forme de intervenţie la nivelurile minime necesare, de exemplu, prin aplicarea unor doze reduse, prin frecvenţa redusă a aplicării sau prin aplicări parţiale, în condiţiile în care nivelul de risc pentru vegetaţie este acceptabil, iar acestea nu măresc riscul de dezvoltare a rezistenţei în cadrul populaţiilor de organisme dăunătoare</w:t>
      </w:r>
      <w:r w:rsidRPr="0007139F">
        <w:t xml:space="preserve">; </w:t>
      </w:r>
    </w:p>
    <w:p w14:paraId="7026B3E2" w14:textId="12F99483" w:rsidR="0007139F" w:rsidRPr="0007139F" w:rsidRDefault="0007139F" w:rsidP="00CE44C9">
      <w:pPr>
        <w:tabs>
          <w:tab w:val="left" w:pos="284"/>
          <w:tab w:val="left" w:pos="567"/>
        </w:tabs>
        <w:spacing w:after="0"/>
        <w:jc w:val="both"/>
      </w:pPr>
      <w:r w:rsidRPr="0007139F">
        <w:tab/>
      </w:r>
      <w:r w:rsidRPr="0007139F">
        <w:tab/>
      </w:r>
      <w:r w:rsidR="009C5D46">
        <w:t>-</w:t>
      </w:r>
      <w:r w:rsidR="00D72B35" w:rsidRPr="00D72B35">
        <w:t xml:space="preserve">  aplica</w:t>
      </w:r>
      <w:r w:rsidRPr="0007139F">
        <w:t>rea</w:t>
      </w:r>
      <w:r w:rsidR="00D72B35" w:rsidRPr="00D72B35">
        <w:t xml:space="preserve"> strategiil</w:t>
      </w:r>
      <w:r w:rsidRPr="0007139F">
        <w:t>or</w:t>
      </w:r>
      <w:r w:rsidR="00D72B35" w:rsidRPr="00D72B35">
        <w:t xml:space="preserve"> antirezistenţă disponibile, pentru menţinerea eficacităţii produselor. Acesta ar putea include utilizarea </w:t>
      </w:r>
      <w:r w:rsidR="00437427">
        <w:t>produselor de protectie a plantelor</w:t>
      </w:r>
      <w:r w:rsidR="00D72B35" w:rsidRPr="00D72B35">
        <w:t xml:space="preserve"> multiple cu modalităţi diferite de acţiune</w:t>
      </w:r>
      <w:r w:rsidRPr="0007139F">
        <w:t>;</w:t>
      </w:r>
    </w:p>
    <w:p w14:paraId="58CE5CD1" w14:textId="050EDBB2" w:rsidR="00690EE6" w:rsidRPr="00024984" w:rsidRDefault="00DB1AB7" w:rsidP="009C5D46">
      <w:pPr>
        <w:tabs>
          <w:tab w:val="left" w:pos="0"/>
        </w:tabs>
        <w:spacing w:after="0"/>
      </w:pPr>
      <w:r>
        <w:t xml:space="preserve">● </w:t>
      </w:r>
      <w:r w:rsidR="00690EE6" w:rsidRPr="00024984">
        <w:t xml:space="preserve">să </w:t>
      </w:r>
      <w:r w:rsidR="005C51E9">
        <w:t xml:space="preserve">nu </w:t>
      </w:r>
      <w:r w:rsidR="00690EE6" w:rsidRPr="00024984">
        <w:t>aplice tratamente fitosanitare în zonele de protecţie a resurselor de apă, în zonele de protecţie sanitară și ecologică, precum și în alte zone protejate stabilite în condiţiile legii</w:t>
      </w:r>
      <w:r w:rsidR="005C51E9">
        <w:t>;</w:t>
      </w:r>
    </w:p>
    <w:p w14:paraId="7FCB936A" w14:textId="77777777" w:rsidR="00DB1AB7" w:rsidRDefault="00DB1AB7" w:rsidP="00C832B5">
      <w:pPr>
        <w:spacing w:after="0"/>
        <w:jc w:val="both"/>
      </w:pPr>
      <w:r>
        <w:t xml:space="preserve">● </w:t>
      </w:r>
      <w:r w:rsidR="005C51E9">
        <w:t>s</w:t>
      </w:r>
      <w:r w:rsidR="00690EE6" w:rsidRPr="00024984">
        <w:t>ă respecte condiţiile de depozitare</w:t>
      </w:r>
      <w:r w:rsidR="00E7405A">
        <w:t xml:space="preserve"> și</w:t>
      </w:r>
      <w:r w:rsidR="00690EE6" w:rsidRPr="00024984">
        <w:t xml:space="preserve"> manipulare a produselor de protecţie a plantelor în exploataţiile agricole</w:t>
      </w:r>
      <w:r w:rsidR="005C51E9">
        <w:t>, și anume</w:t>
      </w:r>
      <w:r w:rsidR="00E7405A" w:rsidRPr="00D07103">
        <w:t>:</w:t>
      </w:r>
      <w:r w:rsidR="00E7405A">
        <w:t xml:space="preserve"> </w:t>
      </w:r>
    </w:p>
    <w:p w14:paraId="3FE35360" w14:textId="77777777" w:rsidR="00E7405A" w:rsidRDefault="00DB1AB7" w:rsidP="00C832B5">
      <w:pPr>
        <w:spacing w:after="0"/>
        <w:jc w:val="both"/>
      </w:pPr>
      <w:r>
        <w:tab/>
        <w:t xml:space="preserve">- </w:t>
      </w:r>
      <w:r w:rsidR="00FF0631" w:rsidRPr="00024984">
        <w:t xml:space="preserve">depozitele să fie construite din materiale durabile, neinflamabile şi </w:t>
      </w:r>
      <w:r w:rsidR="00E7405A">
        <w:t>c</w:t>
      </w:r>
      <w:r w:rsidR="00FF0631" w:rsidRPr="00024984">
        <w:t>u o capacitate de stocare corespunzătoare</w:t>
      </w:r>
      <w:r w:rsidR="00E7405A">
        <w:t>;</w:t>
      </w:r>
      <w:r w:rsidR="00E7405A" w:rsidRPr="00024984">
        <w:t xml:space="preserve"> </w:t>
      </w:r>
    </w:p>
    <w:p w14:paraId="0F026C1C" w14:textId="77777777" w:rsidR="00DB1AB7" w:rsidRDefault="00FF0631" w:rsidP="00C832B5">
      <w:pPr>
        <w:spacing w:after="0"/>
        <w:jc w:val="both"/>
      </w:pPr>
      <w:r>
        <w:t xml:space="preserve"> </w:t>
      </w:r>
      <w:r w:rsidR="00DB1AB7">
        <w:tab/>
        <w:t xml:space="preserve">- </w:t>
      </w:r>
      <w:r w:rsidR="00E7405A">
        <w:t>p</w:t>
      </w:r>
      <w:r w:rsidRPr="00024984">
        <w:t>roduse</w:t>
      </w:r>
      <w:r w:rsidR="00E7405A">
        <w:t xml:space="preserve">le de protecție a plantelor </w:t>
      </w:r>
      <w:r w:rsidRPr="00024984">
        <w:t>să fie păstrate în ambalajele originale</w:t>
      </w:r>
      <w:r w:rsidR="00E7405A">
        <w:t>,</w:t>
      </w:r>
      <w:r w:rsidRPr="00024984">
        <w:t xml:space="preserve"> stivuite pe rafturi/paleți</w:t>
      </w:r>
      <w:r w:rsidR="00DB1AB7">
        <w:t>;</w:t>
      </w:r>
      <w:r w:rsidR="00DB1AB7" w:rsidRPr="00024984">
        <w:t xml:space="preserve"> </w:t>
      </w:r>
    </w:p>
    <w:p w14:paraId="6AFA26AA" w14:textId="77777777" w:rsidR="00DB1AB7" w:rsidRDefault="00DB1AB7" w:rsidP="00C832B5">
      <w:pPr>
        <w:spacing w:after="0"/>
        <w:jc w:val="both"/>
      </w:pPr>
      <w:r>
        <w:tab/>
        <w:t xml:space="preserve">- </w:t>
      </w:r>
      <w:r w:rsidR="00FF0631">
        <w:t xml:space="preserve"> </w:t>
      </w:r>
      <w:r w:rsidR="00FF0631" w:rsidRPr="00024984">
        <w:t>depozitele să fie prevăzute cu sisteme de prevenire și stingerea incendiilor și sisteme antiefracție</w:t>
      </w:r>
      <w:r>
        <w:t>;</w:t>
      </w:r>
      <w:r w:rsidRPr="00024984">
        <w:t xml:space="preserve"> </w:t>
      </w:r>
    </w:p>
    <w:p w14:paraId="19AA4650" w14:textId="77777777" w:rsidR="00DB1AB7" w:rsidRDefault="00DB1AB7" w:rsidP="00C832B5">
      <w:pPr>
        <w:spacing w:after="0"/>
        <w:jc w:val="both"/>
      </w:pPr>
      <w:r>
        <w:tab/>
        <w:t xml:space="preserve">- </w:t>
      </w:r>
      <w:r w:rsidR="00FF0631" w:rsidRPr="00024984">
        <w:t>exploatația să dețină fosă septică/recipienți pentru colectarea apelor cu reziduuri de p</w:t>
      </w:r>
      <w:r>
        <w:t>roduse de protecție a plantelor;</w:t>
      </w:r>
    </w:p>
    <w:p w14:paraId="34583CF6" w14:textId="77777777" w:rsidR="00B91198" w:rsidRDefault="00DB1AB7" w:rsidP="00C832B5">
      <w:pPr>
        <w:spacing w:after="0"/>
        <w:jc w:val="both"/>
      </w:pPr>
      <w:r>
        <w:tab/>
        <w:t xml:space="preserve">- produsele </w:t>
      </w:r>
      <w:r w:rsidR="00FF0631" w:rsidRPr="00024984">
        <w:t xml:space="preserve"> trebuie stocate în condiţii corespunzătoare</w:t>
      </w:r>
      <w:r w:rsidR="005013B7">
        <w:t>, respectiv</w:t>
      </w:r>
      <w:r w:rsidR="00FF0631">
        <w:t xml:space="preserve"> în </w:t>
      </w:r>
      <w:r w:rsidR="005013B7">
        <w:t>î</w:t>
      </w:r>
      <w:r w:rsidR="00FF0631">
        <w:t xml:space="preserve">ncăperi cu temperaturi cuprinse </w:t>
      </w:r>
      <w:r w:rsidR="005013B7">
        <w:t>î</w:t>
      </w:r>
      <w:r w:rsidR="00FF0631">
        <w:t>ntre 1</w:t>
      </w:r>
      <w:r w:rsidR="005013B7">
        <w:t>⁰</w:t>
      </w:r>
      <w:r w:rsidR="00FF0631">
        <w:t>C – 25</w:t>
      </w:r>
      <w:r w:rsidR="005013B7">
        <w:t>⁰</w:t>
      </w:r>
      <w:r w:rsidR="00FF0631">
        <w:t xml:space="preserve">C, </w:t>
      </w:r>
      <w:r w:rsidR="00FF0631" w:rsidRPr="00024984">
        <w:t>ferite de căldură, lumină şi umiditate excesiv</w:t>
      </w:r>
      <w:r w:rsidR="005013B7">
        <w:t>ă</w:t>
      </w:r>
      <w:r w:rsidR="00FF0631" w:rsidRPr="00024984">
        <w:t>, separat de alte materiale</w:t>
      </w:r>
      <w:r w:rsidR="005013B7">
        <w:t>,</w:t>
      </w:r>
      <w:r w:rsidR="00FF0631" w:rsidRPr="00024984">
        <w:t xml:space="preserve"> mai ales de furaje sau de alimente</w:t>
      </w:r>
      <w:r w:rsidR="005013B7">
        <w:t>;</w:t>
      </w:r>
      <w:r w:rsidR="00690EE6" w:rsidRPr="00024984">
        <w:t xml:space="preserve"> </w:t>
      </w:r>
    </w:p>
    <w:p w14:paraId="3827714D" w14:textId="77777777" w:rsidR="00690EE6" w:rsidRPr="00024984" w:rsidRDefault="00690EE6" w:rsidP="00C832B5">
      <w:pPr>
        <w:spacing w:after="0"/>
        <w:jc w:val="both"/>
      </w:pPr>
      <w:r w:rsidRPr="00024984">
        <w:t xml:space="preserve"> </w:t>
      </w:r>
    </w:p>
    <w:p w14:paraId="5C3258D5" w14:textId="77777777" w:rsidR="00B91198" w:rsidRDefault="005013B7" w:rsidP="00D07103">
      <w:pPr>
        <w:jc w:val="both"/>
      </w:pPr>
      <w:r>
        <w:t xml:space="preserve">● </w:t>
      </w:r>
      <w:r w:rsidR="00FF0631">
        <w:t xml:space="preserve">să </w:t>
      </w:r>
      <w:r w:rsidR="00690EE6" w:rsidRPr="00024984">
        <w:t xml:space="preserve"> </w:t>
      </w:r>
      <w:r w:rsidR="00FF0631">
        <w:t xml:space="preserve">poarte </w:t>
      </w:r>
      <w:r w:rsidR="00690EE6" w:rsidRPr="00024984">
        <w:t>echipament</w:t>
      </w:r>
      <w:r w:rsidR="00B91198">
        <w:t xml:space="preserve"> individual</w:t>
      </w:r>
      <w:r w:rsidR="00690EE6" w:rsidRPr="00024984">
        <w:t xml:space="preserve"> de protecție </w:t>
      </w:r>
      <w:r w:rsidR="00FF0631">
        <w:t>la efectuarea tratamentelor fitosanitare</w:t>
      </w:r>
      <w:r>
        <w:t xml:space="preserve"> </w:t>
      </w:r>
      <w:r w:rsidRPr="00024984">
        <w:t>(salopete</w:t>
      </w:r>
      <w:r>
        <w:t>/combinezon</w:t>
      </w:r>
      <w:r w:rsidRPr="00024984">
        <w:t xml:space="preserve">, cizme, mănuși, ochelari </w:t>
      </w:r>
      <w:r>
        <w:t xml:space="preserve">/vizieră, </w:t>
      </w:r>
      <w:r w:rsidRPr="00024984">
        <w:t>etc)</w:t>
      </w:r>
      <w:r w:rsidR="00FF0631">
        <w:t>;</w:t>
      </w:r>
    </w:p>
    <w:p w14:paraId="1286D69F" w14:textId="77777777" w:rsidR="00FF0631" w:rsidRDefault="00B91198" w:rsidP="00C832B5">
      <w:pPr>
        <w:spacing w:after="0"/>
        <w:jc w:val="both"/>
      </w:pPr>
      <w:r>
        <w:t>● să întrețină și să curețe echipamentul individual de protecție după efectuarea tratamentului fitosanitar</w:t>
      </w:r>
      <w:r w:rsidRPr="00024984">
        <w:t>;</w:t>
      </w:r>
      <w:r>
        <w:t xml:space="preserve"> </w:t>
      </w:r>
    </w:p>
    <w:p w14:paraId="59E4532C" w14:textId="77777777" w:rsidR="00690EE6" w:rsidRDefault="005013B7" w:rsidP="00C832B5">
      <w:pPr>
        <w:spacing w:after="0"/>
        <w:jc w:val="both"/>
      </w:pPr>
      <w:r>
        <w:t xml:space="preserve">● </w:t>
      </w:r>
      <w:r w:rsidR="00690EE6" w:rsidRPr="00024984">
        <w:t>să dețină un contract</w:t>
      </w:r>
      <w:r>
        <w:t xml:space="preserve"> de prestări servicii </w:t>
      </w:r>
      <w:r w:rsidR="00690EE6" w:rsidRPr="00024984">
        <w:t xml:space="preserve">cu o unitate de preluare a </w:t>
      </w:r>
      <w:r>
        <w:t>ambalajelor și a apelor reziduale rezultate d</w:t>
      </w:r>
      <w:r w:rsidR="00D07103">
        <w:t>in</w:t>
      </w:r>
      <w:r>
        <w:t xml:space="preserve"> utilizarea produselor de protecție a plantelor și</w:t>
      </w:r>
      <w:r w:rsidR="00FF0631">
        <w:t xml:space="preserve"> </w:t>
      </w:r>
      <w:r w:rsidR="00690EE6" w:rsidRPr="00024984">
        <w:t>să justifice prin document</w:t>
      </w:r>
      <w:r>
        <w:t xml:space="preserve"> </w:t>
      </w:r>
      <w:r w:rsidR="00690EE6" w:rsidRPr="00024984">
        <w:t xml:space="preserve">că a predat </w:t>
      </w:r>
      <w:r>
        <w:t xml:space="preserve">acestea </w:t>
      </w:r>
      <w:r w:rsidR="00690EE6" w:rsidRPr="00024984">
        <w:t>în termen de 90 de zile</w:t>
      </w:r>
      <w:r>
        <w:t xml:space="preserve">, sau </w:t>
      </w:r>
      <w:r w:rsidR="000E7E47">
        <w:t>î</w:t>
      </w:r>
      <w:r>
        <w:t xml:space="preserve">n cadrul </w:t>
      </w:r>
      <w:r w:rsidRPr="00024984">
        <w:t>Program</w:t>
      </w:r>
      <w:r w:rsidR="000E7E47">
        <w:t>ului</w:t>
      </w:r>
      <w:r w:rsidRPr="00024984">
        <w:t xml:space="preserve"> SCAPA</w:t>
      </w:r>
      <w:r w:rsidR="00690EE6" w:rsidRPr="00024984">
        <w:t>;</w:t>
      </w:r>
    </w:p>
    <w:p w14:paraId="2757AEC7" w14:textId="77777777" w:rsidR="001D5177" w:rsidRPr="00024984" w:rsidRDefault="001D5177" w:rsidP="00C832B5">
      <w:pPr>
        <w:spacing w:after="0"/>
        <w:jc w:val="both"/>
      </w:pPr>
      <w:r>
        <w:t xml:space="preserve">● ambalajele produselor de protecție a plantelor se clătesc de 3 ori, se separă dopul de recipient și </w:t>
      </w:r>
      <w:r w:rsidR="000E7E47">
        <w:t xml:space="preserve">se </w:t>
      </w:r>
      <w:r>
        <w:t>predau la</w:t>
      </w:r>
      <w:r w:rsidR="002C1E10">
        <w:t xml:space="preserve"> prestatorii de servicii autorizați</w:t>
      </w:r>
      <w:r>
        <w:t>;</w:t>
      </w:r>
    </w:p>
    <w:p w14:paraId="69D8E26E" w14:textId="6FF370E1" w:rsidR="002C1E10" w:rsidRDefault="001D5177" w:rsidP="00C832B5">
      <w:pPr>
        <w:spacing w:after="0"/>
        <w:jc w:val="both"/>
      </w:pPr>
      <w:r>
        <w:t xml:space="preserve">● </w:t>
      </w:r>
      <w:r w:rsidR="00FF0631">
        <w:t xml:space="preserve">echipamentele de aplicare a </w:t>
      </w:r>
      <w:r w:rsidR="002C1E10">
        <w:t xml:space="preserve">produselor de protecție a plantelor </w:t>
      </w:r>
      <w:r w:rsidR="00FF0631">
        <w:t xml:space="preserve">utilizate la tratamentele fitosanitare </w:t>
      </w:r>
      <w:r w:rsidR="00690EE6" w:rsidRPr="00024984">
        <w:t xml:space="preserve">trebuie să </w:t>
      </w:r>
      <w:r w:rsidR="009C5D46">
        <w:t>fie</w:t>
      </w:r>
      <w:r w:rsidR="00FF0631">
        <w:t xml:space="preserve"> verific</w:t>
      </w:r>
      <w:r w:rsidR="009C5D46">
        <w:t>ate</w:t>
      </w:r>
      <w:r w:rsidR="00FF0631">
        <w:t xml:space="preserve"> tehnic </w:t>
      </w:r>
      <w:r w:rsidR="002C1E10">
        <w:t>î</w:t>
      </w:r>
      <w:r w:rsidR="00FF0631">
        <w:t>nainte de  efectuarea</w:t>
      </w:r>
      <w:r w:rsidR="002C1E10">
        <w:t xml:space="preserve"> </w:t>
      </w:r>
      <w:r w:rsidR="00FF0631">
        <w:t>fiec</w:t>
      </w:r>
      <w:r w:rsidR="002C1E10">
        <w:t>ă</w:t>
      </w:r>
      <w:r w:rsidR="00FF0631">
        <w:t>rui tratament întocmind</w:t>
      </w:r>
      <w:r w:rsidR="002C1E10">
        <w:t>u-se</w:t>
      </w:r>
      <w:r w:rsidR="00FF0631">
        <w:t xml:space="preserve"> o list</w:t>
      </w:r>
      <w:r w:rsidR="002C1E10">
        <w:t>ă</w:t>
      </w:r>
      <w:r w:rsidR="00FF0631">
        <w:t xml:space="preserve"> de verificare tehnică a acestora</w:t>
      </w:r>
      <w:r w:rsidR="009012F2">
        <w:t>;</w:t>
      </w:r>
      <w:r w:rsidR="00FF0631">
        <w:t xml:space="preserve"> </w:t>
      </w:r>
    </w:p>
    <w:p w14:paraId="40738382" w14:textId="77777777" w:rsidR="00690EE6" w:rsidRPr="00024984" w:rsidRDefault="002C1E10" w:rsidP="00C832B5">
      <w:pPr>
        <w:spacing w:after="0"/>
        <w:jc w:val="both"/>
      </w:pPr>
      <w:r w:rsidRPr="000E7E47">
        <w:t>● să nu se desfunde duzele cu gura;</w:t>
      </w:r>
      <w:r w:rsidR="00690EE6" w:rsidRPr="000E7E47">
        <w:t xml:space="preserve"> </w:t>
      </w:r>
    </w:p>
    <w:p w14:paraId="2A88DB22" w14:textId="38556D48" w:rsidR="00690EE6" w:rsidRPr="00644DD0" w:rsidRDefault="002C1E10" w:rsidP="00C832B5">
      <w:pPr>
        <w:spacing w:after="0"/>
        <w:jc w:val="both"/>
        <w:rPr>
          <w:b/>
          <w:color w:val="FF0000"/>
        </w:rPr>
      </w:pPr>
      <w:r w:rsidRPr="00644DD0">
        <w:rPr>
          <w:b/>
        </w:rPr>
        <w:lastRenderedPageBreak/>
        <w:t xml:space="preserve">● </w:t>
      </w:r>
      <w:r w:rsidR="009012F2" w:rsidRPr="00644DD0">
        <w:rPr>
          <w:b/>
          <w:color w:val="FF0000"/>
        </w:rPr>
        <w:t xml:space="preserve">echipamentul de aplicare </w:t>
      </w:r>
      <w:r w:rsidR="00690EE6" w:rsidRPr="00644DD0">
        <w:rPr>
          <w:b/>
          <w:color w:val="FF0000"/>
        </w:rPr>
        <w:t xml:space="preserve">trebuie să fie </w:t>
      </w:r>
      <w:r w:rsidR="009012F2" w:rsidRPr="00644DD0">
        <w:rPr>
          <w:b/>
          <w:color w:val="FF0000"/>
        </w:rPr>
        <w:t>in</w:t>
      </w:r>
      <w:r w:rsidRPr="00644DD0">
        <w:rPr>
          <w:b/>
          <w:color w:val="FF0000"/>
        </w:rPr>
        <w:t>sp</w:t>
      </w:r>
      <w:r w:rsidR="009012F2" w:rsidRPr="00644DD0">
        <w:rPr>
          <w:b/>
          <w:color w:val="FF0000"/>
        </w:rPr>
        <w:t>ectat o dată la 3 ani</w:t>
      </w:r>
      <w:r w:rsidR="00686188" w:rsidRPr="00644DD0">
        <w:rPr>
          <w:b/>
          <w:color w:val="FF0000"/>
        </w:rPr>
        <w:t xml:space="preserve">, dacă are o </w:t>
      </w:r>
      <w:bookmarkStart w:id="0" w:name="_GoBack"/>
      <w:bookmarkEnd w:id="0"/>
      <w:r w:rsidR="00686188" w:rsidRPr="00644DD0">
        <w:rPr>
          <w:b/>
          <w:color w:val="FF0000"/>
        </w:rPr>
        <w:t>vechime mai mare de 5 ani de la cumparare</w:t>
      </w:r>
      <w:r w:rsidR="00D07103" w:rsidRPr="00644DD0">
        <w:rPr>
          <w:b/>
          <w:color w:val="FF0000"/>
        </w:rPr>
        <w:t xml:space="preserve"> și </w:t>
      </w:r>
      <w:r w:rsidR="00686188" w:rsidRPr="00644DD0">
        <w:rPr>
          <w:b/>
          <w:color w:val="FF0000"/>
        </w:rPr>
        <w:t xml:space="preserve">cel puțin </w:t>
      </w:r>
      <w:r w:rsidR="00D07103" w:rsidRPr="00644DD0">
        <w:rPr>
          <w:b/>
          <w:color w:val="FF0000"/>
        </w:rPr>
        <w:t xml:space="preserve">o dată </w:t>
      </w:r>
      <w:r w:rsidR="00686188" w:rsidRPr="00644DD0">
        <w:rPr>
          <w:b/>
          <w:color w:val="FF0000"/>
        </w:rPr>
        <w:t>pe parcursul unei perioade de 5 ani după cumpărare, dacă acesta este nou</w:t>
      </w:r>
      <w:r w:rsidR="009012F2" w:rsidRPr="00644DD0">
        <w:rPr>
          <w:b/>
          <w:color w:val="FF0000"/>
        </w:rPr>
        <w:t xml:space="preserve">; </w:t>
      </w:r>
    </w:p>
    <w:p w14:paraId="5F4B7713" w14:textId="5B605F7E" w:rsidR="00690EE6" w:rsidRPr="00024984" w:rsidRDefault="002C1E10" w:rsidP="00C832B5">
      <w:pPr>
        <w:spacing w:after="0"/>
        <w:jc w:val="both"/>
      </w:pPr>
      <w:r>
        <w:t xml:space="preserve">● </w:t>
      </w:r>
      <w:r w:rsidR="009012F2">
        <w:t>s</w:t>
      </w:r>
      <w:r w:rsidR="00690EE6" w:rsidRPr="00024984">
        <w:t xml:space="preserve">ă păstreze </w:t>
      </w:r>
      <w:r w:rsidR="009012F2">
        <w:t xml:space="preserve">pentru </w:t>
      </w:r>
      <w:r w:rsidR="00690EE6" w:rsidRPr="00024984">
        <w:t xml:space="preserve">o perioadă de cel puţin 3 ani </w:t>
      </w:r>
      <w:r w:rsidR="00690EE6" w:rsidRPr="00D07103">
        <w:rPr>
          <w:b/>
          <w:bCs/>
        </w:rPr>
        <w:t>documentele de evidenţă contabilă</w:t>
      </w:r>
      <w:r w:rsidR="00690EE6" w:rsidRPr="00024984">
        <w:t xml:space="preserve"> a produselor de protecţie a plantelor depozitate şi utilizate în exploataţie, precum şi </w:t>
      </w:r>
      <w:r w:rsidR="00690EE6" w:rsidRPr="00D07103">
        <w:rPr>
          <w:b/>
          <w:bCs/>
        </w:rPr>
        <w:t>Registrul de evidenţă a tratamentelor cu produse de protecţie a plantelor</w:t>
      </w:r>
      <w:r w:rsidR="00686188">
        <w:rPr>
          <w:b/>
          <w:bCs/>
        </w:rPr>
        <w:t xml:space="preserve">, </w:t>
      </w:r>
      <w:r w:rsidR="00686188" w:rsidRPr="00686188">
        <w:t>în format letric sau electronic</w:t>
      </w:r>
      <w:r w:rsidR="009012F2">
        <w:t>;</w:t>
      </w:r>
    </w:p>
    <w:p w14:paraId="6D23F7EE" w14:textId="77777777" w:rsidR="00ED3229" w:rsidRPr="00024984" w:rsidRDefault="00CA5D0D" w:rsidP="00C832B5">
      <w:pPr>
        <w:spacing w:after="0"/>
        <w:jc w:val="both"/>
      </w:pPr>
      <w:r>
        <w:t xml:space="preserve">● </w:t>
      </w:r>
      <w:r w:rsidR="005D170E">
        <w:t xml:space="preserve">să </w:t>
      </w:r>
      <w:r w:rsidR="00ED3229" w:rsidRPr="00024984">
        <w:t>pre</w:t>
      </w:r>
      <w:r>
        <w:t>gătească</w:t>
      </w:r>
      <w:r w:rsidR="00ED3229" w:rsidRPr="00024984">
        <w:t xml:space="preserve"> soluţi</w:t>
      </w:r>
      <w:r>
        <w:t>a</w:t>
      </w:r>
      <w:r w:rsidR="005D170E">
        <w:t xml:space="preserve"> de st</w:t>
      </w:r>
      <w:r>
        <w:t>r</w:t>
      </w:r>
      <w:r w:rsidR="005D170E">
        <w:t xml:space="preserve">opit într-un loc special amenajat, </w:t>
      </w:r>
      <w:r w:rsidR="00ED3229" w:rsidRPr="00024984">
        <w:t>practic</w:t>
      </w:r>
      <w:r>
        <w:t xml:space="preserve"> și</w:t>
      </w:r>
      <w:r w:rsidR="00ED3229" w:rsidRPr="00024984">
        <w:t xml:space="preserve"> sigur</w:t>
      </w:r>
      <w:r>
        <w:t xml:space="preserve"> pentru a evita accidentele și consecințele negative pentru fermier și m</w:t>
      </w:r>
      <w:r w:rsidR="00ED3229" w:rsidRPr="00024984">
        <w:t>ediul înconjurător</w:t>
      </w:r>
      <w:r w:rsidR="0007332B">
        <w:t xml:space="preserve"> sau direct în rezervorul echipamentului de aplicare</w:t>
      </w:r>
      <w:r w:rsidR="00E37D81">
        <w:t>;</w:t>
      </w:r>
      <w:r w:rsidR="00ED3229" w:rsidRPr="00024984">
        <w:t xml:space="preserve">   </w:t>
      </w:r>
    </w:p>
    <w:p w14:paraId="17EB521C" w14:textId="77777777" w:rsidR="00CA5D0D" w:rsidRDefault="00CA5D0D" w:rsidP="00C832B5">
      <w:pPr>
        <w:spacing w:after="0"/>
        <w:jc w:val="both"/>
      </w:pPr>
      <w:r>
        <w:t xml:space="preserve">● </w:t>
      </w:r>
      <w:r w:rsidR="00E37D81">
        <w:t>să nu consume băuturi alc</w:t>
      </w:r>
      <w:r w:rsidR="00D07103">
        <w:t>o</w:t>
      </w:r>
      <w:r w:rsidR="00E37D81">
        <w:t xml:space="preserve">olice </w:t>
      </w:r>
      <w:r w:rsidR="00ED3229" w:rsidRPr="00024984">
        <w:t>înainte de începerea tratamentului</w:t>
      </w:r>
      <w:r>
        <w:t xml:space="preserve"> fitosanitar</w:t>
      </w:r>
      <w:r w:rsidR="00ED3229" w:rsidRPr="00024984">
        <w:t>;</w:t>
      </w:r>
    </w:p>
    <w:p w14:paraId="39B9BE56" w14:textId="34E9EEC8" w:rsidR="00BE4910" w:rsidRDefault="00CA5D0D" w:rsidP="00C832B5">
      <w:pPr>
        <w:spacing w:after="0"/>
        <w:jc w:val="both"/>
      </w:pPr>
      <w:r>
        <w:t xml:space="preserve">● să </w:t>
      </w:r>
      <w:r w:rsidR="00E37D81">
        <w:t>anunț</w:t>
      </w:r>
      <w:r>
        <w:t>e</w:t>
      </w:r>
      <w:r w:rsidR="00E37D81">
        <w:t xml:space="preserve"> </w:t>
      </w:r>
      <w:r w:rsidR="00686188">
        <w:t>UAT-urile în scris</w:t>
      </w:r>
      <w:r w:rsidR="00EE641B">
        <w:t>,</w:t>
      </w:r>
      <w:r w:rsidR="00686188">
        <w:t xml:space="preserve"> cu cel putin 48 de ore</w:t>
      </w:r>
      <w:r w:rsidR="00E37D81" w:rsidRPr="00E37D81">
        <w:t xml:space="preserve"> </w:t>
      </w:r>
      <w:r>
        <w:t>î</w:t>
      </w:r>
      <w:r w:rsidR="00E37D81" w:rsidRPr="00024984">
        <w:t>nainte</w:t>
      </w:r>
      <w:r w:rsidR="00E37D81">
        <w:t xml:space="preserve"> de efectuarea tratamentelor fitosanitare</w:t>
      </w:r>
      <w:r w:rsidR="00EE641B">
        <w:t>, precum și denumirea produsului folosit, în vederea prevenirii intoxicațiilor la albine</w:t>
      </w:r>
      <w:r w:rsidRPr="00024984">
        <w:t>;</w:t>
      </w:r>
    </w:p>
    <w:p w14:paraId="25C7ABA1" w14:textId="046CB253" w:rsidR="00CA5D0D" w:rsidRPr="00024984" w:rsidRDefault="00ED3229" w:rsidP="00C832B5">
      <w:pPr>
        <w:spacing w:after="0"/>
        <w:jc w:val="both"/>
      </w:pPr>
      <w:r w:rsidRPr="00024984">
        <w:t>•</w:t>
      </w:r>
      <w:r w:rsidR="00CA5D0D">
        <w:t xml:space="preserve"> </w:t>
      </w:r>
      <w:r w:rsidR="00E37D81">
        <w:t xml:space="preserve">să nu </w:t>
      </w:r>
      <w:r w:rsidRPr="00024984">
        <w:t>aplic</w:t>
      </w:r>
      <w:r w:rsidR="00E37D81">
        <w:t>e</w:t>
      </w:r>
      <w:r w:rsidRPr="00024984">
        <w:t xml:space="preserve"> produsele dacă </w:t>
      </w:r>
      <w:r w:rsidR="00EE641B">
        <w:t xml:space="preserve">viteza </w:t>
      </w:r>
      <w:r w:rsidRPr="00024984">
        <w:t>vânt</w:t>
      </w:r>
      <w:r w:rsidR="00EE641B">
        <w:t>ului este mai mare de 4m/s</w:t>
      </w:r>
      <w:r w:rsidR="00FC5BEB" w:rsidRPr="00024984">
        <w:t>, temperaturi mai mari de 26</w:t>
      </w:r>
      <w:r w:rsidR="00FC5BEB" w:rsidRPr="00024984">
        <w:rPr>
          <w:vertAlign w:val="superscript"/>
        </w:rPr>
        <w:t>0</w:t>
      </w:r>
      <w:r w:rsidR="00FC5BEB" w:rsidRPr="00024984">
        <w:t>C</w:t>
      </w:r>
      <w:r w:rsidR="00CA5D0D">
        <w:t xml:space="preserve"> și</w:t>
      </w:r>
      <w:r w:rsidR="00FC5BEB" w:rsidRPr="00024984">
        <w:t xml:space="preserve"> umiditate</w:t>
      </w:r>
      <w:r w:rsidR="00CA5D0D">
        <w:t xml:space="preserve">a aerului </w:t>
      </w:r>
      <w:r w:rsidR="00FC5BEB" w:rsidRPr="00024984">
        <w:t>mai mare de 80%</w:t>
      </w:r>
      <w:r w:rsidRPr="00024984">
        <w:t>;</w:t>
      </w:r>
    </w:p>
    <w:p w14:paraId="781016C7" w14:textId="77777777" w:rsidR="00E37D81" w:rsidRDefault="00CA5D0D" w:rsidP="00D07103">
      <w:pPr>
        <w:spacing w:after="0"/>
        <w:jc w:val="both"/>
      </w:pPr>
      <w:r>
        <w:t xml:space="preserve">● să </w:t>
      </w:r>
      <w:r w:rsidR="00E37D81">
        <w:t xml:space="preserve"> utilize</w:t>
      </w:r>
      <w:r>
        <w:t xml:space="preserve">ze </w:t>
      </w:r>
      <w:r w:rsidR="00236E4A" w:rsidRPr="00024984">
        <w:t>duze antiderivă sau duze cu induc</w:t>
      </w:r>
      <w:r>
        <w:t>ț</w:t>
      </w:r>
      <w:r w:rsidR="00236E4A" w:rsidRPr="00024984">
        <w:t>ie de aer pentru reducerea derivei</w:t>
      </w:r>
      <w:r w:rsidR="00E37D81">
        <w:t xml:space="preserve"> soluției utilizată la tratament</w:t>
      </w:r>
      <w:r>
        <w:t>ul fitosanitar</w:t>
      </w:r>
      <w:r w:rsidR="00E37D81" w:rsidRPr="00024984">
        <w:t>;</w:t>
      </w:r>
      <w:r w:rsidR="00236E4A" w:rsidRPr="00024984">
        <w:t xml:space="preserve"> </w:t>
      </w:r>
    </w:p>
    <w:p w14:paraId="1C46C196" w14:textId="77777777" w:rsidR="000E7E47" w:rsidRDefault="00CA5D0D" w:rsidP="00D07103">
      <w:r>
        <w:t xml:space="preserve">● </w:t>
      </w:r>
      <w:r w:rsidR="00CE0C43">
        <w:t>să p</w:t>
      </w:r>
      <w:r w:rsidR="00FC5BEB" w:rsidRPr="00024984">
        <w:t>rotej</w:t>
      </w:r>
      <w:r w:rsidR="00D07103">
        <w:t>eze</w:t>
      </w:r>
      <w:r w:rsidR="00FC5BEB" w:rsidRPr="00024984">
        <w:t xml:space="preserve"> insectele pol</w:t>
      </w:r>
      <w:r w:rsidR="000E7E47">
        <w:t>e</w:t>
      </w:r>
      <w:r w:rsidR="00FC5BEB" w:rsidRPr="00024984">
        <w:t>nizatoare</w:t>
      </w:r>
      <w:r w:rsidR="00CE0C43">
        <w:t xml:space="preserve"> prin utilizarea zonelor tampon</w:t>
      </w:r>
      <w:r w:rsidR="00B91198" w:rsidRPr="00024984">
        <w:t>;</w:t>
      </w:r>
    </w:p>
    <w:p w14:paraId="617D638B" w14:textId="77777777" w:rsidR="00CE0C43" w:rsidRPr="00024984" w:rsidRDefault="00B91198" w:rsidP="00C832B5">
      <w:pPr>
        <w:spacing w:after="0"/>
        <w:jc w:val="both"/>
      </w:pPr>
      <w:r>
        <w:t xml:space="preserve">● să </w:t>
      </w:r>
      <w:r w:rsidR="00CE0C43">
        <w:t>nu se efectue</w:t>
      </w:r>
      <w:r>
        <w:t>ze</w:t>
      </w:r>
      <w:r w:rsidR="00CE0C43">
        <w:t xml:space="preserve"> tratamente cu produse periculoase</w:t>
      </w:r>
      <w:r>
        <w:t xml:space="preserve"> pentru albine </w:t>
      </w:r>
      <w:r w:rsidR="00CE0C43">
        <w:t>la culturile înflorite sau în zonele cu buruieni înflorite</w:t>
      </w:r>
      <w:r w:rsidR="00CE0C43" w:rsidRPr="00024984">
        <w:t>;</w:t>
      </w:r>
      <w:r w:rsidR="00CE0C43">
        <w:t xml:space="preserve"> </w:t>
      </w:r>
    </w:p>
    <w:p w14:paraId="2260B359" w14:textId="77777777" w:rsidR="00ED3229" w:rsidRPr="00024984" w:rsidRDefault="00B91198" w:rsidP="00C832B5">
      <w:pPr>
        <w:spacing w:after="0"/>
        <w:jc w:val="both"/>
      </w:pPr>
      <w:r>
        <w:t>● să n</w:t>
      </w:r>
      <w:r w:rsidR="00ED3229" w:rsidRPr="00024984">
        <w:t xml:space="preserve">u </w:t>
      </w:r>
      <w:r>
        <w:t xml:space="preserve">se </w:t>
      </w:r>
      <w:r w:rsidR="00ED3229" w:rsidRPr="00024984">
        <w:t>permit</w:t>
      </w:r>
      <w:r>
        <w:t>ă</w:t>
      </w:r>
      <w:r w:rsidR="00ED3229" w:rsidRPr="00024984">
        <w:t xml:space="preserve"> accesul oamenilor sau animalelor în zona care va fi tratată;</w:t>
      </w:r>
    </w:p>
    <w:p w14:paraId="72CD2DBA" w14:textId="77777777" w:rsidR="00B91198" w:rsidRDefault="00B91198" w:rsidP="00C832B5">
      <w:pPr>
        <w:spacing w:after="0"/>
        <w:jc w:val="both"/>
      </w:pPr>
      <w:r>
        <w:t xml:space="preserve">● să nu se </w:t>
      </w:r>
      <w:r w:rsidR="00ED3229" w:rsidRPr="00024984">
        <w:t>m</w:t>
      </w:r>
      <w:r>
        <w:t>ă</w:t>
      </w:r>
      <w:r w:rsidR="00ED3229" w:rsidRPr="00024984">
        <w:t>n</w:t>
      </w:r>
      <w:r>
        <w:t>ân</w:t>
      </w:r>
      <w:r w:rsidR="00ED3229" w:rsidRPr="00024984">
        <w:t>c</w:t>
      </w:r>
      <w:r>
        <w:t>e</w:t>
      </w:r>
      <w:r w:rsidR="00ED3229" w:rsidRPr="00024984">
        <w:t>, be</w:t>
      </w:r>
      <w:r>
        <w:t>a</w:t>
      </w:r>
      <w:r w:rsidR="00ED3229" w:rsidRPr="00024984">
        <w:t xml:space="preserve"> sau fum</w:t>
      </w:r>
      <w:r>
        <w:t>eze</w:t>
      </w:r>
      <w:r w:rsidR="00ED3229" w:rsidRPr="00024984">
        <w:t xml:space="preserve"> în timpul aplicării</w:t>
      </w:r>
      <w:r>
        <w:t xml:space="preserve"> tratamentelor fitosanitare</w:t>
      </w:r>
      <w:r w:rsidR="00ED3229" w:rsidRPr="00024984">
        <w:t>;</w:t>
      </w:r>
    </w:p>
    <w:p w14:paraId="446034F4" w14:textId="77777777" w:rsidR="00ED3229" w:rsidRPr="00024984" w:rsidRDefault="00B91198" w:rsidP="00C832B5">
      <w:pPr>
        <w:spacing w:after="0"/>
        <w:jc w:val="both"/>
      </w:pPr>
      <w:r>
        <w:t xml:space="preserve">● </w:t>
      </w:r>
      <w:r w:rsidR="00ED3229" w:rsidRPr="00024984">
        <w:t>surplusu</w:t>
      </w:r>
      <w:r>
        <w:t>l</w:t>
      </w:r>
      <w:r w:rsidR="00ED3229" w:rsidRPr="00024984">
        <w:t xml:space="preserve"> de soluţie de stropit </w:t>
      </w:r>
      <w:r w:rsidR="00CE0C43">
        <w:t xml:space="preserve">se </w:t>
      </w:r>
      <w:r w:rsidR="00ED3229" w:rsidRPr="00024984">
        <w:t>dilu</w:t>
      </w:r>
      <w:r w:rsidR="00CE0C43">
        <w:t xml:space="preserve">ează </w:t>
      </w:r>
      <w:r w:rsidR="00ED3229" w:rsidRPr="00024984">
        <w:t>şi</w:t>
      </w:r>
      <w:r w:rsidR="00CE0C43">
        <w:t xml:space="preserve"> se </w:t>
      </w:r>
      <w:r w:rsidR="00ED3229" w:rsidRPr="00024984">
        <w:t>aplic</w:t>
      </w:r>
      <w:r>
        <w:t>ă</w:t>
      </w:r>
      <w:r w:rsidR="00ED3229" w:rsidRPr="00024984">
        <w:t xml:space="preserve"> pe plante</w:t>
      </w:r>
      <w:r>
        <w:t>le</w:t>
      </w:r>
      <w:r w:rsidR="00ED3229" w:rsidRPr="00024984">
        <w:t xml:space="preserve"> care nu sunt destinate consumului uman sau animal</w:t>
      </w:r>
      <w:r w:rsidRPr="00024984">
        <w:t>;</w:t>
      </w:r>
    </w:p>
    <w:p w14:paraId="39DC3C33" w14:textId="77777777" w:rsidR="00BE4910" w:rsidRPr="00024984" w:rsidRDefault="00B91198" w:rsidP="00C832B5">
      <w:pPr>
        <w:spacing w:after="0"/>
        <w:jc w:val="both"/>
      </w:pPr>
      <w:r>
        <w:t xml:space="preserve">● să respecte </w:t>
      </w:r>
      <w:r w:rsidR="003850A4">
        <w:t xml:space="preserve">timpul de pauză conform instrucțiunilor de </w:t>
      </w:r>
      <w:r>
        <w:t xml:space="preserve">pe eticheta </w:t>
      </w:r>
      <w:r w:rsidR="003850A4">
        <w:t>produsului</w:t>
      </w:r>
      <w:r w:rsidR="003850A4" w:rsidRPr="00024984">
        <w:t>;</w:t>
      </w:r>
    </w:p>
    <w:p w14:paraId="50FE35E9" w14:textId="77777777" w:rsidR="003850A4" w:rsidRPr="00024984" w:rsidRDefault="00B91198" w:rsidP="00C832B5">
      <w:pPr>
        <w:spacing w:after="0"/>
        <w:jc w:val="both"/>
      </w:pPr>
      <w:r>
        <w:t>● să</w:t>
      </w:r>
      <w:r w:rsidR="003850A4">
        <w:t xml:space="preserve"> respect</w:t>
      </w:r>
      <w:r>
        <w:t>e</w:t>
      </w:r>
      <w:r w:rsidR="003850A4">
        <w:t xml:space="preserve"> măsurile de prim ajutor</w:t>
      </w:r>
      <w:r>
        <w:t xml:space="preserve"> </w:t>
      </w:r>
      <w:r w:rsidR="006E591A">
        <w:t>înscrise pe eticheta produsului</w:t>
      </w:r>
      <w:r w:rsidR="006E591A" w:rsidRPr="00024984">
        <w:t>;</w:t>
      </w:r>
      <w:r w:rsidR="006E591A">
        <w:t xml:space="preserve"> </w:t>
      </w:r>
    </w:p>
    <w:p w14:paraId="43670D20" w14:textId="77777777" w:rsidR="00914A02" w:rsidRPr="00024984" w:rsidRDefault="00B91198" w:rsidP="00C832B5">
      <w:pPr>
        <w:spacing w:after="0"/>
        <w:jc w:val="both"/>
      </w:pPr>
      <w:r>
        <w:t>● î</w:t>
      </w:r>
      <w:r w:rsidR="006E591A">
        <w:t>n caz de intoxicații cu produse de protecție a plantelo</w:t>
      </w:r>
      <w:r>
        <w:t>r să sune</w:t>
      </w:r>
      <w:r w:rsidR="00914A02" w:rsidRPr="00024984">
        <w:t xml:space="preserve"> imediat </w:t>
      </w:r>
      <w:r w:rsidR="006E591A">
        <w:t xml:space="preserve">la </w:t>
      </w:r>
      <w:r w:rsidR="00914A02" w:rsidRPr="00024984">
        <w:t xml:space="preserve">Institutul Naţional de Sănătate Publică, Biroul de informare toxicologică, </w:t>
      </w:r>
      <w:r w:rsidR="006E591A">
        <w:t>t</w:t>
      </w:r>
      <w:r w:rsidR="00914A02" w:rsidRPr="00024984">
        <w:t>el</w:t>
      </w:r>
      <w:r>
        <w:t xml:space="preserve">efon </w:t>
      </w:r>
      <w:r w:rsidR="00914A02" w:rsidRPr="00024984">
        <w:t xml:space="preserve"> 021 318 3620, interior 235.</w:t>
      </w:r>
    </w:p>
    <w:p w14:paraId="636F6A87" w14:textId="77777777" w:rsidR="00914A02" w:rsidRDefault="00914A02" w:rsidP="00C832B5">
      <w:pPr>
        <w:spacing w:after="0"/>
        <w:jc w:val="both"/>
      </w:pPr>
    </w:p>
    <w:p w14:paraId="44569815" w14:textId="77777777" w:rsidR="00AC7BCB" w:rsidRPr="00024984" w:rsidRDefault="00AC7BCB" w:rsidP="00C832B5">
      <w:pPr>
        <w:spacing w:after="0"/>
        <w:jc w:val="both"/>
      </w:pPr>
    </w:p>
    <w:sectPr w:rsidR="00AC7BCB" w:rsidRPr="00024984" w:rsidSect="005947D5">
      <w:footerReference w:type="default" r:id="rId9"/>
      <w:headerReference w:type="first" r:id="rId10"/>
      <w:footerReference w:type="first" r:id="rId11"/>
      <w:pgSz w:w="11906" w:h="16838"/>
      <w:pgMar w:top="851" w:right="1134" w:bottom="567" w:left="1701"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82257" w14:textId="77777777" w:rsidR="00C93B4B" w:rsidRDefault="00C93B4B">
      <w:pPr>
        <w:spacing w:after="0" w:line="240" w:lineRule="auto"/>
      </w:pPr>
      <w:r>
        <w:separator/>
      </w:r>
    </w:p>
  </w:endnote>
  <w:endnote w:type="continuationSeparator" w:id="0">
    <w:p w14:paraId="7DAD3CA1" w14:textId="77777777" w:rsidR="00C93B4B" w:rsidRDefault="00C9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ajan Pro">
    <w:altName w:val="Cambria"/>
    <w:charset w:val="00"/>
    <w:family w:val="roman"/>
    <w:pitch w:val="variable"/>
  </w:font>
  <w:font w:name="OpenSymbol">
    <w:altName w:val="Segoe UI 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B8689" w14:textId="77777777" w:rsidR="00E73135" w:rsidRDefault="00413CF4">
    <w:pPr>
      <w:pStyle w:val="Footer"/>
      <w:tabs>
        <w:tab w:val="clear" w:pos="4680"/>
        <w:tab w:val="clear" w:pos="9360"/>
        <w:tab w:val="right" w:pos="9071"/>
      </w:tabs>
      <w:jc w:val="right"/>
    </w:pPr>
    <w:r>
      <w:rPr>
        <w:sz w:val="20"/>
        <w:szCs w:val="20"/>
      </w:rPr>
      <w:t xml:space="preserve">Pagina </w:t>
    </w:r>
    <w:r>
      <w:rPr>
        <w:b/>
        <w:bCs/>
        <w:sz w:val="20"/>
        <w:szCs w:val="20"/>
      </w:rPr>
      <w:fldChar w:fldCharType="begin"/>
    </w:r>
    <w:r>
      <w:rPr>
        <w:b/>
        <w:bCs/>
        <w:sz w:val="20"/>
        <w:szCs w:val="20"/>
      </w:rPr>
      <w:instrText>PAGE</w:instrText>
    </w:r>
    <w:r>
      <w:rPr>
        <w:b/>
        <w:bCs/>
        <w:sz w:val="20"/>
        <w:szCs w:val="20"/>
      </w:rPr>
      <w:fldChar w:fldCharType="separate"/>
    </w:r>
    <w:r w:rsidR="00644DD0">
      <w:rPr>
        <w:b/>
        <w:bCs/>
        <w:noProof/>
        <w:sz w:val="20"/>
        <w:szCs w:val="20"/>
      </w:rPr>
      <w:t>3</w:t>
    </w:r>
    <w:r>
      <w:rPr>
        <w:b/>
        <w:bCs/>
        <w:sz w:val="20"/>
        <w:szCs w:val="20"/>
      </w:rPr>
      <w:fldChar w:fldCharType="end"/>
    </w:r>
    <w:r>
      <w:rPr>
        <w:sz w:val="20"/>
        <w:szCs w:val="20"/>
      </w:rPr>
      <w:t xml:space="preserve"> / </w:t>
    </w:r>
    <w:r>
      <w:rPr>
        <w:b/>
        <w:bCs/>
        <w:sz w:val="20"/>
        <w:szCs w:val="20"/>
      </w:rPr>
      <w:fldChar w:fldCharType="begin"/>
    </w:r>
    <w:r>
      <w:rPr>
        <w:b/>
        <w:bCs/>
        <w:sz w:val="20"/>
        <w:szCs w:val="20"/>
      </w:rPr>
      <w:instrText>NUMPAGES</w:instrText>
    </w:r>
    <w:r>
      <w:rPr>
        <w:b/>
        <w:bCs/>
        <w:sz w:val="20"/>
        <w:szCs w:val="20"/>
      </w:rPr>
      <w:fldChar w:fldCharType="separate"/>
    </w:r>
    <w:r w:rsidR="00644DD0">
      <w:rPr>
        <w:b/>
        <w:bCs/>
        <w:noProof/>
        <w:sz w:val="20"/>
        <w:szCs w:val="20"/>
      </w:rPr>
      <w:t>3</w:t>
    </w:r>
    <w:r>
      <w:rPr>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0611D" w14:textId="77777777" w:rsidR="00E73135" w:rsidRDefault="00413CF4">
    <w:pPr>
      <w:pStyle w:val="Footer"/>
      <w:tabs>
        <w:tab w:val="clear" w:pos="4680"/>
        <w:tab w:val="clear" w:pos="9360"/>
        <w:tab w:val="right" w:pos="9071"/>
      </w:tabs>
      <w:jc w:val="right"/>
    </w:pPr>
    <w:r>
      <w:rPr>
        <w:sz w:val="20"/>
        <w:szCs w:val="20"/>
      </w:rPr>
      <w:t xml:space="preserve">Pagina </w:t>
    </w:r>
    <w:r>
      <w:rPr>
        <w:b/>
        <w:bCs/>
        <w:sz w:val="20"/>
        <w:szCs w:val="20"/>
      </w:rPr>
      <w:fldChar w:fldCharType="begin"/>
    </w:r>
    <w:r>
      <w:rPr>
        <w:b/>
        <w:bCs/>
        <w:sz w:val="20"/>
        <w:szCs w:val="20"/>
      </w:rPr>
      <w:instrText>PAGE</w:instrText>
    </w:r>
    <w:r>
      <w:rPr>
        <w:b/>
        <w:bCs/>
        <w:sz w:val="20"/>
        <w:szCs w:val="20"/>
      </w:rPr>
      <w:fldChar w:fldCharType="separate"/>
    </w:r>
    <w:r w:rsidR="00644DD0">
      <w:rPr>
        <w:b/>
        <w:bCs/>
        <w:noProof/>
        <w:sz w:val="20"/>
        <w:szCs w:val="20"/>
      </w:rPr>
      <w:t>1</w:t>
    </w:r>
    <w:r>
      <w:rPr>
        <w:b/>
        <w:bCs/>
        <w:sz w:val="20"/>
        <w:szCs w:val="20"/>
      </w:rPr>
      <w:fldChar w:fldCharType="end"/>
    </w:r>
    <w:r>
      <w:rPr>
        <w:sz w:val="20"/>
        <w:szCs w:val="20"/>
      </w:rPr>
      <w:t xml:space="preserve"> / </w:t>
    </w:r>
    <w:r w:rsidR="00734409">
      <w:rPr>
        <w:b/>
        <w:bCs/>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EB693" w14:textId="77777777" w:rsidR="00C93B4B" w:rsidRDefault="00C93B4B">
      <w:pPr>
        <w:spacing w:after="0" w:line="240" w:lineRule="auto"/>
      </w:pPr>
      <w:r>
        <w:separator/>
      </w:r>
    </w:p>
  </w:footnote>
  <w:footnote w:type="continuationSeparator" w:id="0">
    <w:p w14:paraId="708B842A" w14:textId="77777777" w:rsidR="00C93B4B" w:rsidRDefault="00C93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511" w:type="dxa"/>
      <w:tblInd w:w="1843" w:type="dxa"/>
      <w:tblLook w:val="04A0" w:firstRow="1" w:lastRow="0" w:firstColumn="1" w:lastColumn="0" w:noHBand="0" w:noVBand="1"/>
    </w:tblPr>
    <w:tblGrid>
      <w:gridCol w:w="4813"/>
      <w:gridCol w:w="277"/>
      <w:gridCol w:w="2421"/>
    </w:tblGrid>
    <w:tr w:rsidR="00E73135" w14:paraId="13B33E6C" w14:textId="77777777">
      <w:trPr>
        <w:trHeight w:val="568"/>
      </w:trPr>
      <w:tc>
        <w:tcPr>
          <w:tcW w:w="4813" w:type="dxa"/>
          <w:tcBorders>
            <w:top w:val="nil"/>
            <w:left w:val="nil"/>
            <w:bottom w:val="nil"/>
            <w:right w:val="nil"/>
          </w:tcBorders>
          <w:shd w:val="clear" w:color="auto" w:fill="auto"/>
        </w:tcPr>
        <w:p w14:paraId="07CFCDE3" w14:textId="77777777" w:rsidR="00E73135" w:rsidRDefault="00E73135">
          <w:pPr>
            <w:spacing w:after="0" w:line="240" w:lineRule="auto"/>
            <w:rPr>
              <w:sz w:val="20"/>
              <w:szCs w:val="20"/>
            </w:rPr>
          </w:pPr>
        </w:p>
      </w:tc>
      <w:tc>
        <w:tcPr>
          <w:tcW w:w="277" w:type="dxa"/>
          <w:tcBorders>
            <w:top w:val="nil"/>
            <w:left w:val="nil"/>
            <w:bottom w:val="nil"/>
            <w:right w:val="nil"/>
          </w:tcBorders>
          <w:shd w:val="clear" w:color="auto" w:fill="auto"/>
        </w:tcPr>
        <w:p w14:paraId="4A1A2254" w14:textId="77777777" w:rsidR="00E73135" w:rsidRDefault="00E73135">
          <w:pPr>
            <w:spacing w:after="0" w:line="240" w:lineRule="auto"/>
            <w:rPr>
              <w:sz w:val="20"/>
              <w:szCs w:val="20"/>
            </w:rPr>
          </w:pPr>
        </w:p>
      </w:tc>
      <w:tc>
        <w:tcPr>
          <w:tcW w:w="2421" w:type="dxa"/>
          <w:tcBorders>
            <w:top w:val="nil"/>
            <w:left w:val="nil"/>
            <w:bottom w:val="nil"/>
            <w:right w:val="nil"/>
          </w:tcBorders>
          <w:shd w:val="clear" w:color="auto" w:fill="auto"/>
        </w:tcPr>
        <w:p w14:paraId="67A3D870" w14:textId="77777777" w:rsidR="00E73135" w:rsidRDefault="00413CF4">
          <w:pPr>
            <w:spacing w:after="0" w:line="240" w:lineRule="auto"/>
            <w:rPr>
              <w:sz w:val="20"/>
              <w:szCs w:val="20"/>
            </w:rPr>
          </w:pPr>
          <w:r>
            <w:rPr>
              <w:noProof/>
              <w:sz w:val="20"/>
              <w:szCs w:val="20"/>
              <w:lang w:val="en-US"/>
            </w:rPr>
            <mc:AlternateContent>
              <mc:Choice Requires="wps">
                <w:drawing>
                  <wp:anchor distT="0" distB="0" distL="0" distR="0" simplePos="0" relativeHeight="2" behindDoc="1" locked="0" layoutInCell="1" allowOverlap="1" wp14:anchorId="37ADBF81" wp14:editId="1F987D8D">
                    <wp:simplePos x="0" y="0"/>
                    <wp:positionH relativeFrom="column">
                      <wp:posOffset>-3366135</wp:posOffset>
                    </wp:positionH>
                    <wp:positionV relativeFrom="paragraph">
                      <wp:posOffset>-71120</wp:posOffset>
                    </wp:positionV>
                    <wp:extent cx="3195320" cy="411480"/>
                    <wp:effectExtent l="0" t="0" r="0" b="0"/>
                    <wp:wrapNone/>
                    <wp:docPr id="1" name="Text Box 2"/>
                    <wp:cNvGraphicFramePr/>
                    <a:graphic xmlns:a="http://schemas.openxmlformats.org/drawingml/2006/main">
                      <a:graphicData uri="http://schemas.microsoft.com/office/word/2010/wordprocessingShape">
                        <wps:wsp>
                          <wps:cNvSpPr/>
                          <wps:spPr>
                            <a:xfrm>
                              <a:off x="0" y="0"/>
                              <a:ext cx="3194640" cy="4107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C4FE38" id="Text Box 2" o:spid="_x0000_s1026" style="position:absolute;margin-left:-265.05pt;margin-top:-5.6pt;width:251.6pt;height:32.4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" stroked="f" strokeweight=".26mm"/>
                </w:pict>
              </mc:Fallback>
            </mc:AlternateContent>
          </w:r>
          <w:r>
            <w:rPr>
              <w:noProof/>
              <w:sz w:val="20"/>
              <w:szCs w:val="20"/>
              <w:lang w:val="en-US"/>
            </w:rPr>
            <mc:AlternateContent>
              <mc:Choice Requires="wps">
                <w:drawing>
                  <wp:anchor distT="0" distB="0" distL="0" distR="0" simplePos="0" relativeHeight="4" behindDoc="1" locked="0" layoutInCell="1" allowOverlap="1" wp14:anchorId="38153ADA" wp14:editId="217F929E">
                    <wp:simplePos x="0" y="0"/>
                    <wp:positionH relativeFrom="column">
                      <wp:posOffset>-3270885</wp:posOffset>
                    </wp:positionH>
                    <wp:positionV relativeFrom="paragraph">
                      <wp:posOffset>-4445</wp:posOffset>
                    </wp:positionV>
                    <wp:extent cx="3195320" cy="411480"/>
                    <wp:effectExtent l="0" t="0" r="0" b="0"/>
                    <wp:wrapNone/>
                    <wp:docPr id="2" name="Frame1"/>
                    <wp:cNvGraphicFramePr/>
                    <a:graphic xmlns:a="http://schemas.openxmlformats.org/drawingml/2006/main">
                      <a:graphicData uri="http://schemas.microsoft.com/office/word/2010/wordprocessingShape">
                        <wps:wsp>
                          <wps:cNvSpPr/>
                          <wps:spPr>
                            <a:xfrm>
                              <a:off x="0" y="0"/>
                              <a:ext cx="3194640" cy="410760"/>
                            </a:xfrm>
                            <a:prstGeom prst="rect">
                              <a:avLst/>
                            </a:prstGeom>
                            <a:noFill/>
                            <a:ln>
                              <a:noFill/>
                            </a:ln>
                          </wps:spPr>
                          <wps:style>
                            <a:lnRef idx="0">
                              <a:scrgbClr r="0" g="0" b="0"/>
                            </a:lnRef>
                            <a:fillRef idx="0">
                              <a:scrgbClr r="0" g="0" b="0"/>
                            </a:fillRef>
                            <a:effectRef idx="0">
                              <a:scrgbClr r="0" g="0" b="0"/>
                            </a:effectRef>
                            <a:fontRef idx="minor"/>
                          </wps:style>
                          <wps:txbx>
                            <w:txbxContent>
                              <w:p w14:paraId="54F1F8DB" w14:textId="77777777" w:rsidR="00E73135" w:rsidRDefault="00413CF4">
                                <w:pPr>
                                  <w:pStyle w:val="Instituie"/>
                                  <w:rPr>
                                    <w:color w:val="000000"/>
                                  </w:rPr>
                                </w:pPr>
                                <w:r>
                                  <w:rPr>
                                    <w:color w:val="000000"/>
                                  </w:rPr>
                                  <w:t>Autoritatea Națională Fitosanitară</w:t>
                                </w:r>
                              </w:p>
                            </w:txbxContent>
                          </wps:txbx>
                          <wps:bodyPr anchor="ctr">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6C293A" id="Frame1" o:spid="_x0000_s1026" style="position:absolute;margin-left:-257.55pt;margin-top:-.35pt;width:251.6pt;height:32.4pt;z-index:-5033164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" filled="f" stroked="f">
                    <v:textbox>
                      <w:txbxContent>
                        <w:p w:rsidR="00E73135" w:rsidRDefault="00413CF4">
                          <w:pPr>
                            <w:pStyle w:val="Instituie"/>
                            <w:rPr>
                              <w:color w:val="000000"/>
                            </w:rPr>
                          </w:pPr>
                          <w:r>
                            <w:rPr>
                              <w:color w:val="000000"/>
                            </w:rPr>
                            <w:t>Autoritatea Națională Fitosanitară</w:t>
                          </w:r>
                        </w:p>
                      </w:txbxContent>
                    </v:textbox>
                  </v:rect>
                </w:pict>
              </mc:Fallback>
            </mc:AlternateContent>
          </w:r>
        </w:p>
      </w:tc>
    </w:tr>
  </w:tbl>
  <w:p w14:paraId="5E6E60C4" w14:textId="77777777" w:rsidR="00E73135" w:rsidRDefault="00E73135">
    <w:pPr>
      <w:pStyle w:val="Header"/>
    </w:pPr>
  </w:p>
  <w:tbl>
    <w:tblPr>
      <w:tblStyle w:val="TableGrid"/>
      <w:tblW w:w="7511" w:type="dxa"/>
      <w:tblInd w:w="1843" w:type="dxa"/>
      <w:tblLook w:val="04A0" w:firstRow="1" w:lastRow="0" w:firstColumn="1" w:lastColumn="0" w:noHBand="0" w:noVBand="1"/>
    </w:tblPr>
    <w:tblGrid>
      <w:gridCol w:w="4813"/>
      <w:gridCol w:w="277"/>
      <w:gridCol w:w="2421"/>
    </w:tblGrid>
    <w:tr w:rsidR="00E73135" w14:paraId="564250EB" w14:textId="77777777">
      <w:trPr>
        <w:trHeight w:val="568"/>
      </w:trPr>
      <w:tc>
        <w:tcPr>
          <w:tcW w:w="4813" w:type="dxa"/>
          <w:tcBorders>
            <w:top w:val="nil"/>
            <w:left w:val="nil"/>
            <w:bottom w:val="nil"/>
            <w:right w:val="nil"/>
          </w:tcBorders>
          <w:shd w:val="clear" w:color="auto" w:fill="auto"/>
        </w:tcPr>
        <w:p w14:paraId="4B832D7F" w14:textId="77777777" w:rsidR="00E73135" w:rsidRDefault="00413CF4">
          <w:pPr>
            <w:spacing w:after="0" w:line="240" w:lineRule="auto"/>
          </w:pPr>
          <w:r>
            <w:rPr>
              <w:sz w:val="20"/>
              <w:szCs w:val="20"/>
            </w:rPr>
            <w:t>B-dul Voluntari nr.11</w:t>
          </w:r>
        </w:p>
        <w:p w14:paraId="0275495E" w14:textId="77777777" w:rsidR="00E73135" w:rsidRDefault="00413CF4">
          <w:pPr>
            <w:spacing w:after="0" w:line="240" w:lineRule="auto"/>
          </w:pPr>
          <w:r>
            <w:rPr>
              <w:sz w:val="20"/>
              <w:szCs w:val="20"/>
            </w:rPr>
            <w:t>Voluntari, 077190</w:t>
          </w:r>
        </w:p>
      </w:tc>
      <w:tc>
        <w:tcPr>
          <w:tcW w:w="277" w:type="dxa"/>
          <w:tcBorders>
            <w:top w:val="nil"/>
            <w:left w:val="nil"/>
            <w:bottom w:val="nil"/>
            <w:right w:val="nil"/>
          </w:tcBorders>
          <w:shd w:val="clear" w:color="auto" w:fill="auto"/>
        </w:tcPr>
        <w:p w14:paraId="688C41A9" w14:textId="77777777" w:rsidR="00E73135" w:rsidRDefault="00E73135">
          <w:pPr>
            <w:spacing w:after="0" w:line="240" w:lineRule="auto"/>
            <w:rPr>
              <w:sz w:val="20"/>
              <w:szCs w:val="20"/>
            </w:rPr>
          </w:pPr>
        </w:p>
      </w:tc>
      <w:tc>
        <w:tcPr>
          <w:tcW w:w="2421" w:type="dxa"/>
          <w:tcBorders>
            <w:top w:val="nil"/>
            <w:left w:val="nil"/>
            <w:bottom w:val="nil"/>
            <w:right w:val="nil"/>
          </w:tcBorders>
          <w:shd w:val="clear" w:color="auto" w:fill="auto"/>
        </w:tcPr>
        <w:p w14:paraId="67BFD82C" w14:textId="77777777" w:rsidR="00E73135" w:rsidRDefault="00413CF4">
          <w:pPr>
            <w:spacing w:after="0" w:line="240" w:lineRule="auto"/>
          </w:pPr>
          <w:r>
            <w:rPr>
              <w:sz w:val="20"/>
              <w:szCs w:val="20"/>
            </w:rPr>
            <w:t>T +40(21) 270 3256</w:t>
          </w:r>
        </w:p>
        <w:p w14:paraId="45D4F06B" w14:textId="77777777" w:rsidR="00E73135" w:rsidRDefault="00413CF4">
          <w:pPr>
            <w:spacing w:after="0" w:line="240" w:lineRule="auto"/>
          </w:pPr>
          <w:r>
            <w:rPr>
              <w:sz w:val="20"/>
              <w:szCs w:val="20"/>
            </w:rPr>
            <w:t>F +40(21) 270 3254</w:t>
          </w:r>
        </w:p>
        <w:p w14:paraId="151809F2" w14:textId="77777777" w:rsidR="00E73135" w:rsidRDefault="00413CF4">
          <w:pPr>
            <w:spacing w:after="0" w:line="240" w:lineRule="auto"/>
          </w:pPr>
          <w:r>
            <w:rPr>
              <w:noProof/>
              <w:lang w:val="en-US"/>
            </w:rPr>
            <mc:AlternateContent>
              <mc:Choice Requires="wps">
                <w:drawing>
                  <wp:anchor distT="0" distB="0" distL="0" distR="0" simplePos="0" relativeHeight="5" behindDoc="1" locked="0" layoutInCell="1" allowOverlap="1" wp14:anchorId="36286D93" wp14:editId="48006064">
                    <wp:simplePos x="0" y="0"/>
                    <wp:positionH relativeFrom="column">
                      <wp:posOffset>-3366135</wp:posOffset>
                    </wp:positionH>
                    <wp:positionV relativeFrom="paragraph">
                      <wp:posOffset>-71120</wp:posOffset>
                    </wp:positionV>
                    <wp:extent cx="3195320" cy="411480"/>
                    <wp:effectExtent l="0" t="0" r="0" b="0"/>
                    <wp:wrapNone/>
                    <wp:docPr id="4" name="Text Box 2"/>
                    <wp:cNvGraphicFramePr/>
                    <a:graphic xmlns:a="http://schemas.openxmlformats.org/drawingml/2006/main">
                      <a:graphicData uri="http://schemas.microsoft.com/office/word/2010/wordprocessingShape">
                        <wps:wsp>
                          <wps:cNvSpPr/>
                          <wps:spPr>
                            <a:xfrm>
                              <a:off x="0" y="0"/>
                              <a:ext cx="3194640" cy="4107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BE8D2" id="Text Box 2" o:spid="_x0000_s1026" style="position:absolute;margin-left:-265.05pt;margin-top:-5.6pt;width:251.6pt;height:32.4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" stroked="f" strokeweight=".26mm"/>
                </w:pict>
              </mc:Fallback>
            </mc:AlternateContent>
          </w:r>
          <w:r>
            <w:rPr>
              <w:sz w:val="20"/>
              <w:szCs w:val="20"/>
            </w:rPr>
            <w:t>www.anfdf.ro</w:t>
          </w:r>
        </w:p>
      </w:tc>
    </w:tr>
  </w:tbl>
  <w:p w14:paraId="49273690" w14:textId="77777777" w:rsidR="00E73135" w:rsidRDefault="00413CF4">
    <w:pPr>
      <w:pStyle w:val="Header"/>
    </w:pPr>
    <w:r>
      <w:rPr>
        <w:noProof/>
        <w:lang w:val="en-US"/>
      </w:rPr>
      <w:drawing>
        <wp:anchor distT="0" distB="0" distL="0" distR="114300" simplePos="0" relativeHeight="3" behindDoc="1" locked="0" layoutInCell="1" allowOverlap="1" wp14:anchorId="517EBAD0" wp14:editId="05D19947">
          <wp:simplePos x="0" y="0"/>
          <wp:positionH relativeFrom="margin">
            <wp:align>left</wp:align>
          </wp:positionH>
          <wp:positionV relativeFrom="paragraph">
            <wp:posOffset>-389255</wp:posOffset>
          </wp:positionV>
          <wp:extent cx="1090295" cy="579120"/>
          <wp:effectExtent l="0" t="0" r="0" b="0"/>
          <wp:wrapSquare wrapText="bothSides"/>
          <wp:docPr id="1913047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stretch>
                    <a:fillRect/>
                  </a:stretch>
                </pic:blipFill>
                <pic:spPr bwMode="auto">
                  <a:xfrm>
                    <a:off x="0" y="0"/>
                    <a:ext cx="1090295" cy="5791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879"/>
    <w:multiLevelType w:val="hybridMultilevel"/>
    <w:tmpl w:val="CE307C9C"/>
    <w:lvl w:ilvl="0" w:tplc="0EDC617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F40ED"/>
    <w:multiLevelType w:val="hybridMultilevel"/>
    <w:tmpl w:val="5A1C525A"/>
    <w:lvl w:ilvl="0" w:tplc="189683A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9591F"/>
    <w:multiLevelType w:val="hybridMultilevel"/>
    <w:tmpl w:val="41A4B668"/>
    <w:lvl w:ilvl="0" w:tplc="DCA8B4B0">
      <w:start w:val="3"/>
      <w:numFmt w:val="bullet"/>
      <w:lvlText w:val="-"/>
      <w:lvlJc w:val="left"/>
      <w:pPr>
        <w:ind w:left="1515" w:hanging="360"/>
      </w:pPr>
      <w:rPr>
        <w:rFonts w:ascii="Trebuchet MS" w:eastAsiaTheme="minorHAnsi" w:hAnsi="Trebuchet MS"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1DB857EC"/>
    <w:multiLevelType w:val="hybridMultilevel"/>
    <w:tmpl w:val="F4C27D12"/>
    <w:lvl w:ilvl="0" w:tplc="4A5E5F86">
      <w:start w:val="3"/>
      <w:numFmt w:val="bullet"/>
      <w:lvlText w:val="-"/>
      <w:lvlJc w:val="left"/>
      <w:pPr>
        <w:ind w:left="1515" w:hanging="360"/>
      </w:pPr>
      <w:rPr>
        <w:rFonts w:ascii="Trebuchet MS" w:eastAsiaTheme="minorHAnsi" w:hAnsi="Trebuchet MS"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33F04A45"/>
    <w:multiLevelType w:val="hybridMultilevel"/>
    <w:tmpl w:val="562E8156"/>
    <w:lvl w:ilvl="0" w:tplc="1B2493A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00074E"/>
    <w:multiLevelType w:val="hybridMultilevel"/>
    <w:tmpl w:val="B4BE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96B88"/>
    <w:multiLevelType w:val="hybridMultilevel"/>
    <w:tmpl w:val="211ED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66F2411"/>
    <w:multiLevelType w:val="hybridMultilevel"/>
    <w:tmpl w:val="DED679F6"/>
    <w:lvl w:ilvl="0" w:tplc="4D6E09E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635A8C"/>
    <w:multiLevelType w:val="hybridMultilevel"/>
    <w:tmpl w:val="7C68301E"/>
    <w:lvl w:ilvl="0" w:tplc="1B4A6C9E">
      <w:start w:val="3"/>
      <w:numFmt w:val="bullet"/>
      <w:lvlText w:val="-"/>
      <w:lvlJc w:val="left"/>
      <w:pPr>
        <w:ind w:left="1515" w:hanging="360"/>
      </w:pPr>
      <w:rPr>
        <w:rFonts w:ascii="Trebuchet MS" w:eastAsiaTheme="minorHAnsi" w:hAnsi="Trebuchet MS"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6177634B"/>
    <w:multiLevelType w:val="multilevel"/>
    <w:tmpl w:val="040A75F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1A3751B"/>
    <w:multiLevelType w:val="hybridMultilevel"/>
    <w:tmpl w:val="94F4F6C6"/>
    <w:lvl w:ilvl="0" w:tplc="1CD6AAF8">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85EE4"/>
    <w:multiLevelType w:val="hybridMultilevel"/>
    <w:tmpl w:val="71566AD4"/>
    <w:lvl w:ilvl="0" w:tplc="B27263A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F4DB3"/>
    <w:multiLevelType w:val="hybridMultilevel"/>
    <w:tmpl w:val="3162EFFA"/>
    <w:lvl w:ilvl="0" w:tplc="2DE63B5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3"/>
  </w:num>
  <w:num w:numId="6">
    <w:abstractNumId w:val="8"/>
  </w:num>
  <w:num w:numId="7">
    <w:abstractNumId w:val="1"/>
  </w:num>
  <w:num w:numId="8">
    <w:abstractNumId w:val="0"/>
  </w:num>
  <w:num w:numId="9">
    <w:abstractNumId w:val="7"/>
  </w:num>
  <w:num w:numId="10">
    <w:abstractNumId w:val="12"/>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35"/>
    <w:rsid w:val="00024984"/>
    <w:rsid w:val="00044ED6"/>
    <w:rsid w:val="0007139F"/>
    <w:rsid w:val="0007332B"/>
    <w:rsid w:val="00076A0E"/>
    <w:rsid w:val="00080D5B"/>
    <w:rsid w:val="000D250D"/>
    <w:rsid w:val="000E7E47"/>
    <w:rsid w:val="001102D2"/>
    <w:rsid w:val="00150B9A"/>
    <w:rsid w:val="00164955"/>
    <w:rsid w:val="00181E5E"/>
    <w:rsid w:val="00183932"/>
    <w:rsid w:val="0019555B"/>
    <w:rsid w:val="001A31A6"/>
    <w:rsid w:val="001C752D"/>
    <w:rsid w:val="001D17D7"/>
    <w:rsid w:val="001D5177"/>
    <w:rsid w:val="00216B27"/>
    <w:rsid w:val="00231CC7"/>
    <w:rsid w:val="00236E4A"/>
    <w:rsid w:val="002603C4"/>
    <w:rsid w:val="00281B88"/>
    <w:rsid w:val="00292F31"/>
    <w:rsid w:val="002940A2"/>
    <w:rsid w:val="002A17B1"/>
    <w:rsid w:val="002B649C"/>
    <w:rsid w:val="002B71F5"/>
    <w:rsid w:val="002C1E10"/>
    <w:rsid w:val="002D0459"/>
    <w:rsid w:val="002D4CE7"/>
    <w:rsid w:val="002E772D"/>
    <w:rsid w:val="002E785A"/>
    <w:rsid w:val="00305276"/>
    <w:rsid w:val="00311527"/>
    <w:rsid w:val="00311D04"/>
    <w:rsid w:val="00325FE6"/>
    <w:rsid w:val="00356DD9"/>
    <w:rsid w:val="003850A4"/>
    <w:rsid w:val="003866AE"/>
    <w:rsid w:val="00396886"/>
    <w:rsid w:val="003A5955"/>
    <w:rsid w:val="003C6C33"/>
    <w:rsid w:val="004133C0"/>
    <w:rsid w:val="00413CF4"/>
    <w:rsid w:val="00423E9C"/>
    <w:rsid w:val="004253FD"/>
    <w:rsid w:val="00437427"/>
    <w:rsid w:val="004A6A8E"/>
    <w:rsid w:val="004C231C"/>
    <w:rsid w:val="004D3F2F"/>
    <w:rsid w:val="004E3B15"/>
    <w:rsid w:val="004E59D9"/>
    <w:rsid w:val="0050090E"/>
    <w:rsid w:val="005013B7"/>
    <w:rsid w:val="005256EB"/>
    <w:rsid w:val="0054721D"/>
    <w:rsid w:val="00555E0A"/>
    <w:rsid w:val="00564BB8"/>
    <w:rsid w:val="005751AE"/>
    <w:rsid w:val="00581C5F"/>
    <w:rsid w:val="00582BB0"/>
    <w:rsid w:val="005947D5"/>
    <w:rsid w:val="005C4BC3"/>
    <w:rsid w:val="005C51E9"/>
    <w:rsid w:val="005D170E"/>
    <w:rsid w:val="005D43F8"/>
    <w:rsid w:val="005F21D0"/>
    <w:rsid w:val="00600CF9"/>
    <w:rsid w:val="006125FF"/>
    <w:rsid w:val="00644DD0"/>
    <w:rsid w:val="00677E9E"/>
    <w:rsid w:val="00686188"/>
    <w:rsid w:val="00690EE6"/>
    <w:rsid w:val="006E591A"/>
    <w:rsid w:val="00711039"/>
    <w:rsid w:val="007220B2"/>
    <w:rsid w:val="00726B94"/>
    <w:rsid w:val="00734409"/>
    <w:rsid w:val="00777F56"/>
    <w:rsid w:val="007979C3"/>
    <w:rsid w:val="007A5C0B"/>
    <w:rsid w:val="007B5768"/>
    <w:rsid w:val="007C47D8"/>
    <w:rsid w:val="007D3ED1"/>
    <w:rsid w:val="007F6C86"/>
    <w:rsid w:val="0081441D"/>
    <w:rsid w:val="00854985"/>
    <w:rsid w:val="00871CF1"/>
    <w:rsid w:val="008730B4"/>
    <w:rsid w:val="00884E30"/>
    <w:rsid w:val="009003B6"/>
    <w:rsid w:val="009012F2"/>
    <w:rsid w:val="00903B21"/>
    <w:rsid w:val="009044D3"/>
    <w:rsid w:val="00914A02"/>
    <w:rsid w:val="00915578"/>
    <w:rsid w:val="0092245E"/>
    <w:rsid w:val="009452F5"/>
    <w:rsid w:val="00953F00"/>
    <w:rsid w:val="009A0C22"/>
    <w:rsid w:val="009C5D46"/>
    <w:rsid w:val="009C7EFD"/>
    <w:rsid w:val="009E437D"/>
    <w:rsid w:val="009E4493"/>
    <w:rsid w:val="009F3436"/>
    <w:rsid w:val="00A0237A"/>
    <w:rsid w:val="00A4521E"/>
    <w:rsid w:val="00A60948"/>
    <w:rsid w:val="00A64D49"/>
    <w:rsid w:val="00AA14A6"/>
    <w:rsid w:val="00AC7BCB"/>
    <w:rsid w:val="00B311C7"/>
    <w:rsid w:val="00B37072"/>
    <w:rsid w:val="00B91198"/>
    <w:rsid w:val="00BA1530"/>
    <w:rsid w:val="00BD3513"/>
    <w:rsid w:val="00BE4910"/>
    <w:rsid w:val="00C16320"/>
    <w:rsid w:val="00C17573"/>
    <w:rsid w:val="00C50C49"/>
    <w:rsid w:val="00C57684"/>
    <w:rsid w:val="00C6475E"/>
    <w:rsid w:val="00C67090"/>
    <w:rsid w:val="00C832B5"/>
    <w:rsid w:val="00C90D87"/>
    <w:rsid w:val="00C93B4B"/>
    <w:rsid w:val="00C94716"/>
    <w:rsid w:val="00CA5D0D"/>
    <w:rsid w:val="00CB4373"/>
    <w:rsid w:val="00CE0C43"/>
    <w:rsid w:val="00CE2838"/>
    <w:rsid w:val="00CE44C9"/>
    <w:rsid w:val="00CF42B0"/>
    <w:rsid w:val="00D03CBF"/>
    <w:rsid w:val="00D07103"/>
    <w:rsid w:val="00D52472"/>
    <w:rsid w:val="00D52C98"/>
    <w:rsid w:val="00D72B35"/>
    <w:rsid w:val="00D74776"/>
    <w:rsid w:val="00D93B7E"/>
    <w:rsid w:val="00DB1AB7"/>
    <w:rsid w:val="00DB2E2E"/>
    <w:rsid w:val="00DB4F3B"/>
    <w:rsid w:val="00DC0A9B"/>
    <w:rsid w:val="00DF1F35"/>
    <w:rsid w:val="00E13FC7"/>
    <w:rsid w:val="00E32080"/>
    <w:rsid w:val="00E37B67"/>
    <w:rsid w:val="00E37D81"/>
    <w:rsid w:val="00E73135"/>
    <w:rsid w:val="00E7405A"/>
    <w:rsid w:val="00E831A1"/>
    <w:rsid w:val="00EC73A1"/>
    <w:rsid w:val="00ED3229"/>
    <w:rsid w:val="00EE641B"/>
    <w:rsid w:val="00EF0273"/>
    <w:rsid w:val="00EF6413"/>
    <w:rsid w:val="00F108B7"/>
    <w:rsid w:val="00F4083E"/>
    <w:rsid w:val="00F522DB"/>
    <w:rsid w:val="00FA6AF5"/>
    <w:rsid w:val="00FB6C40"/>
    <w:rsid w:val="00FC5BEB"/>
    <w:rsid w:val="00FD0DEF"/>
    <w:rsid w:val="00FF06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1B"/>
    <w:pPr>
      <w:spacing w:after="160" w:line="259" w:lineRule="auto"/>
    </w:pPr>
    <w:rPr>
      <w:rFonts w:ascii="Trebuchet MS" w:eastAsiaTheme="minorHAnsi" w:hAnsi="Trebuchet MS" w:cstheme="minorBidi"/>
      <w:kern w:val="0"/>
      <w:sz w:val="24"/>
      <w:lang w:val="ro-RO" w:eastAsia="en-US" w:bidi="ar-SA"/>
    </w:r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Index"/>
    <w:next w:val="HeaderandFooter"/>
    <w:qFormat/>
    <w:pPr>
      <w:numPr>
        <w:ilvl w:val="1"/>
        <w:numId w:val="1"/>
      </w:numPr>
      <w:spacing w:before="200" w:after="120"/>
      <w:outlineLvl w:val="1"/>
    </w:pPr>
    <w:rPr>
      <w:rFonts w:ascii="Liberation Serif;Times New Roma" w:eastAsia="NSimSun" w:hAnsi="Liberation Serif;Times New Roma"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6561B"/>
  </w:style>
  <w:style w:type="character" w:customStyle="1" w:styleId="FooterChar">
    <w:name w:val="Footer Char"/>
    <w:basedOn w:val="DefaultParagraphFont"/>
    <w:link w:val="Footer"/>
    <w:uiPriority w:val="99"/>
    <w:qFormat/>
    <w:rsid w:val="0016561B"/>
  </w:style>
  <w:style w:type="character" w:customStyle="1" w:styleId="InstituieChar">
    <w:name w:val="Instituție Char"/>
    <w:basedOn w:val="DefaultParagraphFont"/>
    <w:link w:val="Instituie"/>
    <w:qFormat/>
    <w:rsid w:val="0016561B"/>
    <w:rPr>
      <w:rFonts w:ascii="Trajan Pro" w:hAnsi="Trajan Pro"/>
      <w:sz w:val="32"/>
      <w:szCs w:val="32"/>
      <w:lang w:val="ro-RO"/>
    </w:rPr>
  </w:style>
  <w:style w:type="character" w:customStyle="1" w:styleId="InternetLink">
    <w:name w:val="Internet Link"/>
    <w:basedOn w:val="DefaultParagraphFont"/>
    <w:uiPriority w:val="99"/>
    <w:unhideWhenUsed/>
    <w:rsid w:val="00660381"/>
    <w:rPr>
      <w:color w:val="0563C1" w:themeColor="hyperlink"/>
      <w:u w:val="single"/>
    </w:rPr>
  </w:style>
  <w:style w:type="character" w:customStyle="1" w:styleId="UnresolvedMention1">
    <w:name w:val="Unresolved Mention1"/>
    <w:basedOn w:val="DefaultParagraphFont"/>
    <w:uiPriority w:val="99"/>
    <w:semiHidden/>
    <w:unhideWhenUsed/>
    <w:qFormat/>
    <w:rsid w:val="00660381"/>
    <w:rPr>
      <w:color w:val="605E5C"/>
      <w:shd w:val="clear" w:color="auto" w:fill="E1DFDD"/>
    </w:rPr>
  </w:style>
  <w:style w:type="character" w:customStyle="1" w:styleId="StrongEmphasis">
    <w:name w:val="Strong Emphasis"/>
    <w:qFormat/>
    <w:rPr>
      <w:b/>
      <w:bCs/>
    </w:rPr>
  </w:style>
  <w:style w:type="character" w:customStyle="1" w:styleId="Quotation">
    <w:name w:val="Quotation"/>
    <w:qFormat/>
    <w:rPr>
      <w:i/>
      <w:iCs/>
    </w:rPr>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qFormat/>
    <w:rsid w:val="00067681"/>
    <w:pPr>
      <w:spacing w:beforeAutospacing="1" w:afterAutospacing="1"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CE0679"/>
    <w:pPr>
      <w:ind w:left="720"/>
      <w:contextualSpacing/>
    </w:pPr>
  </w:style>
  <w:style w:type="paragraph" w:customStyle="1" w:styleId="FrameContents">
    <w:name w:val="Frame Contents"/>
    <w:basedOn w:val="Normal"/>
    <w:qFormat/>
  </w:style>
  <w:style w:type="paragraph" w:styleId="NoSpacing">
    <w:name w:val="No Spacing"/>
    <w:qFormat/>
    <w:pPr>
      <w:suppressAutoHyphens/>
      <w:spacing w:after="160" w:line="259" w:lineRule="auto"/>
    </w:pPr>
    <w:rPr>
      <w:rFonts w:ascii="Times New Roman" w:eastAsia="Arial Unicode MS" w:hAnsi="Times New Roman" w:cs="Times New Roman"/>
      <w:sz w:val="24"/>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D32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0237A"/>
    <w:rPr>
      <w:rFonts w:ascii="Trebuchet MS" w:eastAsiaTheme="minorHAnsi" w:hAnsi="Trebuchet MS" w:cstheme="minorBidi"/>
      <w:kern w:val="0"/>
      <w:sz w:val="24"/>
      <w:lang w:val="ro-RO" w:eastAsia="en-US" w:bidi="ar-SA"/>
    </w:rPr>
  </w:style>
  <w:style w:type="paragraph" w:styleId="BalloonText">
    <w:name w:val="Balloon Text"/>
    <w:basedOn w:val="Normal"/>
    <w:link w:val="BalloonTextChar"/>
    <w:uiPriority w:val="99"/>
    <w:semiHidden/>
    <w:unhideWhenUsed/>
    <w:rsid w:val="00396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86"/>
    <w:rPr>
      <w:rFonts w:ascii="Segoe UI" w:eastAsiaTheme="minorHAnsi" w:hAnsi="Segoe UI" w:cs="Segoe UI"/>
      <w:kern w:val="0"/>
      <w:sz w:val="18"/>
      <w:szCs w:val="18"/>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1B"/>
    <w:pPr>
      <w:spacing w:after="160" w:line="259" w:lineRule="auto"/>
    </w:pPr>
    <w:rPr>
      <w:rFonts w:ascii="Trebuchet MS" w:eastAsiaTheme="minorHAnsi" w:hAnsi="Trebuchet MS" w:cstheme="minorBidi"/>
      <w:kern w:val="0"/>
      <w:sz w:val="24"/>
      <w:lang w:val="ro-RO" w:eastAsia="en-US" w:bidi="ar-SA"/>
    </w:r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Index"/>
    <w:next w:val="HeaderandFooter"/>
    <w:qFormat/>
    <w:pPr>
      <w:numPr>
        <w:ilvl w:val="1"/>
        <w:numId w:val="1"/>
      </w:numPr>
      <w:spacing w:before="200" w:after="120"/>
      <w:outlineLvl w:val="1"/>
    </w:pPr>
    <w:rPr>
      <w:rFonts w:ascii="Liberation Serif;Times New Roma" w:eastAsia="NSimSun" w:hAnsi="Liberation Serif;Times New Roma"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6561B"/>
  </w:style>
  <w:style w:type="character" w:customStyle="1" w:styleId="FooterChar">
    <w:name w:val="Footer Char"/>
    <w:basedOn w:val="DefaultParagraphFont"/>
    <w:link w:val="Footer"/>
    <w:uiPriority w:val="99"/>
    <w:qFormat/>
    <w:rsid w:val="0016561B"/>
  </w:style>
  <w:style w:type="character" w:customStyle="1" w:styleId="InstituieChar">
    <w:name w:val="Instituție Char"/>
    <w:basedOn w:val="DefaultParagraphFont"/>
    <w:link w:val="Instituie"/>
    <w:qFormat/>
    <w:rsid w:val="0016561B"/>
    <w:rPr>
      <w:rFonts w:ascii="Trajan Pro" w:hAnsi="Trajan Pro"/>
      <w:sz w:val="32"/>
      <w:szCs w:val="32"/>
      <w:lang w:val="ro-RO"/>
    </w:rPr>
  </w:style>
  <w:style w:type="character" w:customStyle="1" w:styleId="InternetLink">
    <w:name w:val="Internet Link"/>
    <w:basedOn w:val="DefaultParagraphFont"/>
    <w:uiPriority w:val="99"/>
    <w:unhideWhenUsed/>
    <w:rsid w:val="00660381"/>
    <w:rPr>
      <w:color w:val="0563C1" w:themeColor="hyperlink"/>
      <w:u w:val="single"/>
    </w:rPr>
  </w:style>
  <w:style w:type="character" w:customStyle="1" w:styleId="UnresolvedMention1">
    <w:name w:val="Unresolved Mention1"/>
    <w:basedOn w:val="DefaultParagraphFont"/>
    <w:uiPriority w:val="99"/>
    <w:semiHidden/>
    <w:unhideWhenUsed/>
    <w:qFormat/>
    <w:rsid w:val="00660381"/>
    <w:rPr>
      <w:color w:val="605E5C"/>
      <w:shd w:val="clear" w:color="auto" w:fill="E1DFDD"/>
    </w:rPr>
  </w:style>
  <w:style w:type="character" w:customStyle="1" w:styleId="StrongEmphasis">
    <w:name w:val="Strong Emphasis"/>
    <w:qFormat/>
    <w:rPr>
      <w:b/>
      <w:bCs/>
    </w:rPr>
  </w:style>
  <w:style w:type="character" w:customStyle="1" w:styleId="Quotation">
    <w:name w:val="Quotation"/>
    <w:qFormat/>
    <w:rPr>
      <w:i/>
      <w:iCs/>
    </w:rPr>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qFormat/>
    <w:rsid w:val="00067681"/>
    <w:pPr>
      <w:spacing w:beforeAutospacing="1" w:afterAutospacing="1"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CE0679"/>
    <w:pPr>
      <w:ind w:left="720"/>
      <w:contextualSpacing/>
    </w:pPr>
  </w:style>
  <w:style w:type="paragraph" w:customStyle="1" w:styleId="FrameContents">
    <w:name w:val="Frame Contents"/>
    <w:basedOn w:val="Normal"/>
    <w:qFormat/>
  </w:style>
  <w:style w:type="paragraph" w:styleId="NoSpacing">
    <w:name w:val="No Spacing"/>
    <w:qFormat/>
    <w:pPr>
      <w:suppressAutoHyphens/>
      <w:spacing w:after="160" w:line="259" w:lineRule="auto"/>
    </w:pPr>
    <w:rPr>
      <w:rFonts w:ascii="Times New Roman" w:eastAsia="Arial Unicode MS" w:hAnsi="Times New Roman" w:cs="Times New Roman"/>
      <w:sz w:val="24"/>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D32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0237A"/>
    <w:rPr>
      <w:rFonts w:ascii="Trebuchet MS" w:eastAsiaTheme="minorHAnsi" w:hAnsi="Trebuchet MS" w:cstheme="minorBidi"/>
      <w:kern w:val="0"/>
      <w:sz w:val="24"/>
      <w:lang w:val="ro-RO" w:eastAsia="en-US" w:bidi="ar-SA"/>
    </w:rPr>
  </w:style>
  <w:style w:type="paragraph" w:styleId="BalloonText">
    <w:name w:val="Balloon Text"/>
    <w:basedOn w:val="Normal"/>
    <w:link w:val="BalloonTextChar"/>
    <w:uiPriority w:val="99"/>
    <w:semiHidden/>
    <w:unhideWhenUsed/>
    <w:rsid w:val="00396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86"/>
    <w:rPr>
      <w:rFonts w:ascii="Segoe UI" w:eastAsiaTheme="minorHAnsi" w:hAnsi="Segoe UI" w:cs="Segoe UI"/>
      <w:kern w:val="0"/>
      <w:sz w:val="18"/>
      <w:szCs w:val="18"/>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75B2-6002-4502-80E2-C92BCEBC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1210</Words>
  <Characters>6899</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 1</dc:creator>
  <dc:description/>
  <cp:lastModifiedBy>user</cp:lastModifiedBy>
  <cp:revision>8</cp:revision>
  <cp:lastPrinted>2024-05-22T10:49:00Z</cp:lastPrinted>
  <dcterms:created xsi:type="dcterms:W3CDTF">2024-04-08T06:14:00Z</dcterms:created>
  <dcterms:modified xsi:type="dcterms:W3CDTF">2024-05-22T10:50:00Z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