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0F7D" w14:textId="77777777" w:rsidR="0057167C" w:rsidRPr="00B8485E" w:rsidRDefault="0057167C" w:rsidP="0057167C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06DCFDB0" w14:textId="77777777" w:rsidR="0057167C" w:rsidRPr="0057167C" w:rsidRDefault="003E3302" w:rsidP="0057167C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 wp14:anchorId="2683C499" wp14:editId="2819E29F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F42F" w14:textId="77777777" w:rsidR="0057167C" w:rsidRPr="00D53CA7" w:rsidRDefault="0057167C" w:rsidP="003E330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7ED0A396" w14:textId="77777777" w:rsidR="0057167C" w:rsidRPr="0057167C" w:rsidRDefault="007E32BC" w:rsidP="007E32BC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48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57167C"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 w:rsidR="0048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128</w:t>
                            </w:r>
                            <w:r w:rsidR="0057167C"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din</w:t>
                            </w:r>
                            <w:r w:rsidR="004810D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27.06.2024</w:t>
                            </w:r>
                          </w:p>
                          <w:bookmarkEnd w:id="2"/>
                          <w:p w14:paraId="25209CB7" w14:textId="77777777" w:rsidR="0057167C" w:rsidRPr="0057167C" w:rsidRDefault="0057167C" w:rsidP="003E3302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aprobarea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cererii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acordare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6F28EF9F" w14:textId="70BFF087" w:rsidR="0057167C" w:rsidRPr="0057167C" w:rsidRDefault="0057167C" w:rsidP="003E33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Viorel</w:t>
                            </w:r>
                          </w:p>
                          <w:p w14:paraId="107D8A1F" w14:textId="77777777" w:rsidR="0057167C" w:rsidRPr="008D5171" w:rsidRDefault="0057167C" w:rsidP="0057167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3C4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711CF42F" w14:textId="77777777" w:rsidR="0057167C" w:rsidRPr="00D53CA7" w:rsidRDefault="0057167C" w:rsidP="003E330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7ED0A396" w14:textId="77777777" w:rsidR="0057167C" w:rsidRPr="0057167C" w:rsidRDefault="007E32BC" w:rsidP="007E32BC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</w:t>
                      </w:r>
                      <w:r w:rsidR="0048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</w:t>
                      </w:r>
                      <w:r w:rsidR="0057167C"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 w:rsidR="0048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128</w:t>
                      </w:r>
                      <w:r w:rsidR="0057167C"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din</w:t>
                      </w:r>
                      <w:r w:rsidR="004810D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27.06.2024</w:t>
                      </w:r>
                    </w:p>
                    <w:bookmarkEnd w:id="7"/>
                    <w:p w14:paraId="25209CB7" w14:textId="77777777" w:rsidR="0057167C" w:rsidRPr="0057167C" w:rsidRDefault="0057167C" w:rsidP="003E3302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aprobarea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cererii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acordare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6F28EF9F" w14:textId="70BFF087" w:rsidR="0057167C" w:rsidRPr="0057167C" w:rsidRDefault="0057167C" w:rsidP="003E330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Viorel</w:t>
                      </w:r>
                    </w:p>
                    <w:p w14:paraId="107D8A1F" w14:textId="77777777" w:rsidR="0057167C" w:rsidRPr="008D5171" w:rsidRDefault="0057167C" w:rsidP="0057167C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0417BAB8" wp14:editId="1D62C6DD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7FA5" w14:textId="77777777" w:rsidR="0057167C" w:rsidRPr="0057167C" w:rsidRDefault="0057167C" w:rsidP="0057167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6B6FAC23" w14:textId="77777777" w:rsidR="0057167C" w:rsidRPr="0057167C" w:rsidRDefault="0057167C" w:rsidP="005716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362BBAB1" w14:textId="77777777" w:rsidR="0057167C" w:rsidRPr="0057167C" w:rsidRDefault="0057167C" w:rsidP="005716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46A5FB6E" w14:textId="77777777" w:rsidR="0057167C" w:rsidRPr="0057167C" w:rsidRDefault="0057167C" w:rsidP="005716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68AB90B6" w14:textId="77777777" w:rsidR="0057167C" w:rsidRPr="0057167C" w:rsidRDefault="0057167C" w:rsidP="0057167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8DB8996" w14:textId="77777777" w:rsidR="0057167C" w:rsidRDefault="0057167C" w:rsidP="0057167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39EF72" w14:textId="77777777" w:rsidR="0057167C" w:rsidRDefault="0057167C" w:rsidP="0057167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A3CBD7" w14:textId="77777777" w:rsidR="0057167C" w:rsidRDefault="0057167C" w:rsidP="0057167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CFF8BB" w14:textId="77777777" w:rsidR="0057167C" w:rsidRDefault="0057167C" w:rsidP="0057167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1860111" w14:textId="77777777" w:rsidR="0057167C" w:rsidRDefault="0057167C" w:rsidP="005716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7BAB8" id="Text Box 7" o:spid="_x0000_s1027" type="#_x0000_t202" style="position:absolute;left:0;text-align:left;margin-left:2in;margin-top:26.05pt;width:235.4pt;height:85.4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1A2A7FA5" w14:textId="77777777" w:rsidR="0057167C" w:rsidRPr="0057167C" w:rsidRDefault="0057167C" w:rsidP="0057167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6B6FAC23" w14:textId="77777777" w:rsidR="0057167C" w:rsidRPr="0057167C" w:rsidRDefault="0057167C" w:rsidP="0057167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362BBAB1" w14:textId="77777777" w:rsidR="0057167C" w:rsidRPr="0057167C" w:rsidRDefault="0057167C" w:rsidP="005716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46A5FB6E" w14:textId="77777777" w:rsidR="0057167C" w:rsidRPr="0057167C" w:rsidRDefault="0057167C" w:rsidP="005716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68AB90B6" w14:textId="77777777" w:rsidR="0057167C" w:rsidRPr="0057167C" w:rsidRDefault="0057167C" w:rsidP="0057167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8DB8996" w14:textId="77777777" w:rsidR="0057167C" w:rsidRDefault="0057167C" w:rsidP="0057167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939EF72" w14:textId="77777777" w:rsidR="0057167C" w:rsidRDefault="0057167C" w:rsidP="0057167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EA3CBD7" w14:textId="77777777" w:rsidR="0057167C" w:rsidRDefault="0057167C" w:rsidP="0057167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CCFF8BB" w14:textId="77777777" w:rsidR="0057167C" w:rsidRDefault="0057167C" w:rsidP="0057167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1860111" w14:textId="77777777" w:rsidR="0057167C" w:rsidRDefault="0057167C" w:rsidP="0057167C"/>
                  </w:txbxContent>
                </v:textbox>
              </v:shape>
            </w:pict>
          </mc:Fallback>
        </mc:AlternateContent>
      </w:r>
      <w:r w:rsidR="0057167C">
        <w:rPr>
          <w:noProof/>
        </w:rPr>
        <w:drawing>
          <wp:anchor distT="0" distB="0" distL="114300" distR="114300" simplePos="0" relativeHeight="251683328" behindDoc="0" locked="0" layoutInCell="1" allowOverlap="1" wp14:anchorId="7173D197" wp14:editId="033C8EBC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67C"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</w:t>
      </w:r>
      <w:r>
        <w:rPr>
          <w:rFonts w:ascii="Arial Black" w:eastAsia="Arial Black" w:hAnsi="Arial Black" w:cs="Arial Black"/>
        </w:rPr>
        <w:t xml:space="preserve">  </w:t>
      </w:r>
      <w:r w:rsidR="0057167C">
        <w:rPr>
          <w:rFonts w:ascii="Arial Black" w:eastAsia="Arial Black" w:hAnsi="Arial Black" w:cs="Arial Black"/>
        </w:rPr>
        <w:t xml:space="preserve">   </w:t>
      </w:r>
      <w:r w:rsidR="0057167C" w:rsidRPr="008E0545">
        <w:rPr>
          <w:noProof/>
        </w:rPr>
        <w:drawing>
          <wp:inline distT="0" distB="0" distL="0" distR="0" wp14:anchorId="453C85F5" wp14:editId="3DEBE2AC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D0328" w14:textId="77777777" w:rsidR="0057167C" w:rsidRPr="00B8485E" w:rsidRDefault="0057167C" w:rsidP="0057167C">
      <w:pPr>
        <w:jc w:val="both"/>
        <w:rPr>
          <w:rFonts w:eastAsia="Arial"/>
        </w:rPr>
      </w:pPr>
    </w:p>
    <w:p w14:paraId="136EF48B" w14:textId="77777777" w:rsidR="0057167C" w:rsidRDefault="0057167C" w:rsidP="0057167C">
      <w:pPr>
        <w:ind w:firstLine="567"/>
        <w:jc w:val="both"/>
      </w:pPr>
    </w:p>
    <w:p w14:paraId="22A83843" w14:textId="77777777" w:rsidR="0057167C" w:rsidRDefault="0057167C" w:rsidP="0057167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A832BEC" w14:textId="77777777" w:rsidR="0057167C" w:rsidRDefault="0057167C" w:rsidP="0057167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0538BE73" w14:textId="77777777" w:rsidR="0057167C" w:rsidRPr="0057167C" w:rsidRDefault="0057167C" w:rsidP="0057167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:</w:t>
      </w:r>
    </w:p>
    <w:p w14:paraId="6CEF00B7" w14:textId="77777777" w:rsidR="0057167C" w:rsidRPr="0057167C" w:rsidRDefault="0057167C" w:rsidP="0057167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27FB5C80" w14:textId="77777777" w:rsidR="0057167C" w:rsidRPr="0057167C" w:rsidRDefault="0057167C" w:rsidP="0057167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57167C">
        <w:rPr>
          <w:rFonts w:ascii="Arial" w:hAnsi="Arial" w:cs="Arial"/>
          <w:sz w:val="24"/>
          <w:szCs w:val="24"/>
        </w:rPr>
        <w:t>paragrafele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57167C">
        <w:rPr>
          <w:rFonts w:ascii="Arial" w:hAnsi="Arial" w:cs="Arial"/>
          <w:sz w:val="24"/>
          <w:szCs w:val="24"/>
        </w:rPr>
        <w:t>europeană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autonomiei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57167C">
        <w:rPr>
          <w:rFonts w:ascii="Arial" w:hAnsi="Arial" w:cs="Arial"/>
          <w:sz w:val="24"/>
          <w:szCs w:val="24"/>
        </w:rPr>
        <w:t>adoptată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57167C">
        <w:rPr>
          <w:rFonts w:ascii="Arial" w:hAnsi="Arial" w:cs="Arial"/>
          <w:sz w:val="24"/>
          <w:szCs w:val="24"/>
        </w:rPr>
        <w:t>octombrie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57167C">
        <w:rPr>
          <w:rFonts w:ascii="Arial" w:hAnsi="Arial" w:cs="Arial"/>
          <w:sz w:val="24"/>
          <w:szCs w:val="24"/>
        </w:rPr>
        <w:t>ratificată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199/1997;</w:t>
      </w:r>
    </w:p>
    <w:p w14:paraId="71186341" w14:textId="77777777" w:rsidR="0057167C" w:rsidRPr="0057167C" w:rsidRDefault="0057167C" w:rsidP="0057167C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>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4FA49CC3" w14:textId="77777777" w:rsidR="0057167C" w:rsidRPr="0057167C" w:rsidRDefault="0057167C" w:rsidP="0057167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coroborate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</w:rPr>
        <w:t>cele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57167C">
        <w:rPr>
          <w:rFonts w:ascii="Arial" w:hAnsi="Arial" w:cs="Arial"/>
          <w:sz w:val="24"/>
          <w:szCs w:val="24"/>
        </w:rPr>
        <w:t>anexa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57167C">
        <w:rPr>
          <w:rFonts w:ascii="Arial" w:hAnsi="Arial" w:cs="Arial"/>
          <w:sz w:val="24"/>
          <w:szCs w:val="24"/>
        </w:rPr>
        <w:t>aceasta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791ED142" w14:textId="77777777" w:rsidR="0057167C" w:rsidRPr="0057167C" w:rsidRDefault="0057167C" w:rsidP="0057167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57167C">
        <w:rPr>
          <w:rFonts w:ascii="Arial" w:hAnsi="Arial" w:cs="Arial"/>
          <w:sz w:val="24"/>
          <w:szCs w:val="24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57167C">
        <w:rPr>
          <w:rFonts w:ascii="Arial" w:hAnsi="Arial" w:cs="Arial"/>
          <w:sz w:val="24"/>
          <w:szCs w:val="24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contenciosului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</w:rPr>
        <w:t>;</w:t>
      </w:r>
    </w:p>
    <w:p w14:paraId="2E4ECAD0" w14:textId="77777777" w:rsidR="0057167C" w:rsidRPr="0057167C" w:rsidRDefault="0057167C" w:rsidP="0057167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art. 88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1FC74E87" w14:textId="77777777" w:rsidR="0057167C" w:rsidRPr="0057167C" w:rsidRDefault="0057167C" w:rsidP="0057167C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40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. (1) din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3C1C5707" w14:textId="77777777" w:rsidR="0057167C" w:rsidRPr="0057167C" w:rsidRDefault="0057167C" w:rsidP="0057167C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 xml:space="preserve">  </w:t>
      </w:r>
      <w:proofErr w:type="spellStart"/>
      <w:r w:rsidRPr="0057167C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hAnsi="Arial" w:cs="Arial"/>
          <w:sz w:val="24"/>
          <w:szCs w:val="24"/>
          <w:lang w:eastAsia="ro-RO"/>
        </w:rPr>
        <w:t>;</w:t>
      </w:r>
    </w:p>
    <w:p w14:paraId="2643740C" w14:textId="77777777" w:rsidR="0057167C" w:rsidRPr="0057167C" w:rsidRDefault="0057167C" w:rsidP="005716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4C7B54C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7C82DC47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3498E6C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declarația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pe propria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răspundere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A45932">
        <w:rPr>
          <w:rFonts w:ascii="Arial" w:eastAsia="Times New Roman" w:hAnsi="Arial" w:cs="Arial"/>
          <w:sz w:val="24"/>
          <w:szCs w:val="24"/>
          <w:lang w:eastAsia="ro-RO"/>
        </w:rPr>
        <w:t>15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 w:rsidR="00A45932">
        <w:rPr>
          <w:rFonts w:ascii="Arial" w:eastAsia="Times New Roman" w:hAnsi="Arial" w:cs="Arial"/>
          <w:sz w:val="24"/>
          <w:szCs w:val="24"/>
          <w:lang w:eastAsia="ro-RO"/>
        </w:rPr>
        <w:t>ta de 15.05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solicită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documente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relevante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civilă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ANAF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sursa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PATRIMVEN,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adeverință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agricol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fiscal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77E99E2C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865EF20" w14:textId="77777777" w:rsidR="0057167C" w:rsidRPr="0057167C" w:rsidRDefault="0057167C" w:rsidP="0057167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4810DC">
        <w:rPr>
          <w:rFonts w:ascii="Arial" w:eastAsia="Times New Roman" w:hAnsi="Arial" w:cs="Arial"/>
          <w:sz w:val="24"/>
          <w:szCs w:val="24"/>
          <w:lang w:eastAsia="ro-RO"/>
        </w:rPr>
        <w:t>128 din 27.06.2024,</w:t>
      </w:r>
    </w:p>
    <w:p w14:paraId="59938341" w14:textId="77777777" w:rsidR="0057167C" w:rsidRPr="0057167C" w:rsidRDefault="0057167C" w:rsidP="0057167C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B1F2C48" w14:textId="45B96D66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stabilirea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="007E32BC">
        <w:rPr>
          <w:rFonts w:ascii="Arial" w:eastAsia="Times New Roman" w:hAnsi="Arial" w:cs="Arial"/>
          <w:sz w:val="24"/>
          <w:szCs w:val="24"/>
          <w:lang w:eastAsia="ro-RO"/>
        </w:rPr>
        <w:t xml:space="preserve"> Viorel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referatul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 w:rsidR="00A45932">
        <w:rPr>
          <w:rFonts w:ascii="Arial" w:eastAsia="Times New Roman" w:hAnsi="Arial" w:cs="Arial"/>
          <w:sz w:val="24"/>
          <w:szCs w:val="24"/>
          <w:lang w:eastAsia="ro-RO"/>
        </w:rPr>
        <w:t>7018 din 25.06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45F28D90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52DAB20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57167C">
        <w:rPr>
          <w:rFonts w:ascii="Arial" w:hAnsi="Arial" w:cs="Arial"/>
          <w:sz w:val="24"/>
          <w:szCs w:val="24"/>
        </w:rPr>
        <w:t>Ordonanța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urgență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Guvernului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Codul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administrativ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40AADFC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8C181B3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</w:t>
      </w:r>
      <w:proofErr w:type="spellStart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prezenta:</w:t>
      </w:r>
    </w:p>
    <w:p w14:paraId="6299921B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38870D18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300E3227" w14:textId="0C70F9B0" w:rsidR="0057167C" w:rsidRPr="0057167C" w:rsidRDefault="0057167C" w:rsidP="0057167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aprobă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cererea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A45932">
        <w:rPr>
          <w:rFonts w:ascii="Arial" w:eastAsia="Times New Roman" w:hAnsi="Arial" w:cs="Arial"/>
          <w:sz w:val="24"/>
          <w:szCs w:val="24"/>
          <w:lang w:eastAsia="ro-RO"/>
        </w:rPr>
        <w:t>înregistrată</w:t>
      </w:r>
      <w:proofErr w:type="spellEnd"/>
      <w:r w:rsidR="00A45932">
        <w:rPr>
          <w:rFonts w:ascii="Arial" w:eastAsia="Times New Roman" w:hAnsi="Arial" w:cs="Arial"/>
          <w:sz w:val="24"/>
          <w:szCs w:val="24"/>
          <w:lang w:eastAsia="ro-RO"/>
        </w:rPr>
        <w:t xml:space="preserve"> la nr.15 din 15.05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stabilește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="00A45932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Viorel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F6102E">
        <w:rPr>
          <w:rFonts w:ascii="Arial" w:eastAsia="Times New Roman" w:hAnsi="Arial" w:cs="Arial"/>
          <w:sz w:val="24"/>
          <w:szCs w:val="24"/>
          <w:lang w:eastAsia="ro-RO"/>
        </w:rPr>
        <w:t xml:space="preserve">         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titular,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domiciliul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/ sat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BA6D33E" w14:textId="77777777" w:rsidR="0057167C" w:rsidRPr="0057167C" w:rsidRDefault="0057167C" w:rsidP="0057167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3A02B988" w14:textId="77777777" w:rsidR="0057167C" w:rsidRPr="0057167C" w:rsidRDefault="0057167C" w:rsidP="0057167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A4593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330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persoana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singură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componenta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15945F3D" w14:textId="77777777" w:rsidR="0057167C" w:rsidRPr="0057167C" w:rsidRDefault="0057167C" w:rsidP="0057167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a)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familia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copii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0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78166FEA" w14:textId="77777777" w:rsidR="0057167C" w:rsidRPr="0057167C" w:rsidRDefault="0057167C" w:rsidP="0057167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ajutor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cuantum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de </w:t>
      </w:r>
      <w:r w:rsidR="00A4593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330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</w:t>
      </w:r>
      <w:proofErr w:type="spellStart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lună</w:t>
      </w:r>
      <w:proofErr w:type="spellEnd"/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;</w:t>
      </w:r>
    </w:p>
    <w:p w14:paraId="0FD04C29" w14:textId="77777777" w:rsidR="0057167C" w:rsidRPr="0057167C" w:rsidRDefault="0057167C" w:rsidP="0057167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acordă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="00A4593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</w:t>
      </w:r>
      <w:proofErr w:type="spellEnd"/>
      <w:r w:rsidR="00A45932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cu data de 01.06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450686F4" w14:textId="77777777" w:rsidR="0057167C" w:rsidRPr="0057167C" w:rsidRDefault="0057167C" w:rsidP="0057167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74121D" w14:textId="77777777" w:rsidR="0057167C" w:rsidRPr="0057167C" w:rsidRDefault="0057167C" w:rsidP="0057167C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situația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produc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componența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familiei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și</w:t>
      </w:r>
      <w:proofErr w:type="spellEnd"/>
      <w:r w:rsidRPr="0057167C">
        <w:rPr>
          <w:rFonts w:ascii="Arial" w:hAnsi="Arial" w:cs="Arial"/>
          <w:sz w:val="24"/>
          <w:szCs w:val="24"/>
        </w:rPr>
        <w:t>/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7167C">
        <w:rPr>
          <w:rFonts w:ascii="Arial" w:hAnsi="Arial" w:cs="Arial"/>
          <w:sz w:val="24"/>
          <w:szCs w:val="24"/>
        </w:rPr>
        <w:t>veniturilor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titularul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dreptului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depună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57167C">
        <w:rPr>
          <w:rFonts w:ascii="Arial" w:hAnsi="Arial" w:cs="Arial"/>
          <w:sz w:val="24"/>
          <w:szCs w:val="24"/>
        </w:rPr>
        <w:t>Primărie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Compartimentul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57167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57167C">
        <w:rPr>
          <w:rFonts w:ascii="Arial" w:hAnsi="Arial" w:cs="Arial"/>
          <w:sz w:val="24"/>
          <w:szCs w:val="24"/>
        </w:rPr>
        <w:t>declarație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57167C">
        <w:rPr>
          <w:rFonts w:ascii="Arial" w:hAnsi="Arial" w:cs="Arial"/>
          <w:sz w:val="24"/>
          <w:szCs w:val="24"/>
        </w:rPr>
        <w:t>răspundere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privind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modificările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intervenite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însoțită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după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caz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57167C">
        <w:rPr>
          <w:rFonts w:ascii="Arial" w:hAnsi="Arial" w:cs="Arial"/>
          <w:sz w:val="24"/>
          <w:szCs w:val="24"/>
        </w:rPr>
        <w:t>documente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doveditoare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57167C">
        <w:rPr>
          <w:rFonts w:ascii="Arial" w:hAnsi="Arial" w:cs="Arial"/>
          <w:sz w:val="24"/>
          <w:szCs w:val="24"/>
        </w:rPr>
        <w:t>zile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lucrătoare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la data la care a </w:t>
      </w:r>
      <w:proofErr w:type="spellStart"/>
      <w:r w:rsidRPr="0057167C">
        <w:rPr>
          <w:rFonts w:ascii="Arial" w:hAnsi="Arial" w:cs="Arial"/>
          <w:sz w:val="24"/>
          <w:szCs w:val="24"/>
        </w:rPr>
        <w:t>intervenit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modificarea</w:t>
      </w:r>
      <w:proofErr w:type="spellEnd"/>
      <w:r w:rsidRPr="0057167C">
        <w:rPr>
          <w:rFonts w:ascii="Arial" w:hAnsi="Arial" w:cs="Arial"/>
          <w:sz w:val="24"/>
          <w:szCs w:val="24"/>
        </w:rPr>
        <w:t>.</w:t>
      </w:r>
    </w:p>
    <w:p w14:paraId="4DE7A359" w14:textId="761BB061" w:rsidR="0057167C" w:rsidRPr="0057167C" w:rsidRDefault="0057167C" w:rsidP="0057167C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</w:t>
      </w:r>
      <w:proofErr w:type="spellStart"/>
      <w:r w:rsidRPr="0057167C">
        <w:rPr>
          <w:rFonts w:ascii="Arial" w:hAnsi="Arial" w:cs="Arial"/>
          <w:sz w:val="24"/>
          <w:szCs w:val="24"/>
        </w:rPr>
        <w:t>În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fiecare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domnul</w:t>
      </w:r>
      <w:proofErr w:type="spellEnd"/>
      <w:r w:rsidR="00A45932">
        <w:rPr>
          <w:rFonts w:ascii="Arial" w:hAnsi="Arial" w:cs="Arial"/>
          <w:sz w:val="24"/>
          <w:szCs w:val="24"/>
        </w:rPr>
        <w:t xml:space="preserve"> Viorel</w:t>
      </w:r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persoană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majoră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aptă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muncă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57167C">
        <w:rPr>
          <w:rFonts w:ascii="Arial" w:hAnsi="Arial" w:cs="Arial"/>
          <w:sz w:val="24"/>
          <w:szCs w:val="24"/>
        </w:rPr>
        <w:t>acordă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venitul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minim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57167C">
        <w:rPr>
          <w:rFonts w:ascii="Arial" w:hAnsi="Arial" w:cs="Arial"/>
          <w:sz w:val="24"/>
          <w:szCs w:val="24"/>
        </w:rPr>
        <w:t>componenta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ajutor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incluziune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are </w:t>
      </w:r>
      <w:proofErr w:type="spellStart"/>
      <w:r w:rsidRPr="0057167C">
        <w:rPr>
          <w:rFonts w:ascii="Arial" w:hAnsi="Arial" w:cs="Arial"/>
          <w:sz w:val="24"/>
          <w:szCs w:val="24"/>
        </w:rPr>
        <w:t>obligația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 de a </w:t>
      </w:r>
      <w:proofErr w:type="spellStart"/>
      <w:r w:rsidRPr="0057167C">
        <w:rPr>
          <w:rFonts w:ascii="Arial" w:hAnsi="Arial" w:cs="Arial"/>
          <w:sz w:val="24"/>
          <w:szCs w:val="24"/>
        </w:rPr>
        <w:t>presta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lunar, la </w:t>
      </w:r>
      <w:proofErr w:type="spellStart"/>
      <w:r w:rsidRPr="0057167C">
        <w:rPr>
          <w:rFonts w:ascii="Arial" w:hAnsi="Arial" w:cs="Arial"/>
          <w:sz w:val="24"/>
          <w:szCs w:val="24"/>
        </w:rPr>
        <w:t>solicitarea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primarului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7167C">
        <w:rPr>
          <w:rFonts w:ascii="Arial" w:hAnsi="Arial" w:cs="Arial"/>
          <w:sz w:val="24"/>
          <w:szCs w:val="24"/>
        </w:rPr>
        <w:t>activități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sau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hAnsi="Arial" w:cs="Arial"/>
          <w:sz w:val="24"/>
          <w:szCs w:val="24"/>
        </w:rPr>
        <w:t>lucrări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7167C">
        <w:rPr>
          <w:rFonts w:ascii="Arial" w:hAnsi="Arial" w:cs="Arial"/>
          <w:sz w:val="24"/>
          <w:szCs w:val="24"/>
        </w:rPr>
        <w:t>interes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local </w:t>
      </w:r>
      <w:proofErr w:type="spellStart"/>
      <w:r w:rsidRPr="0057167C">
        <w:rPr>
          <w:rFonts w:ascii="Arial" w:hAnsi="Arial" w:cs="Arial"/>
          <w:sz w:val="24"/>
          <w:szCs w:val="24"/>
        </w:rPr>
        <w:t>pentru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57167C">
        <w:rPr>
          <w:rFonts w:ascii="Arial" w:hAnsi="Arial" w:cs="Arial"/>
          <w:sz w:val="24"/>
          <w:szCs w:val="24"/>
        </w:rPr>
        <w:t>număr</w:t>
      </w:r>
      <w:proofErr w:type="spellEnd"/>
      <w:r w:rsidRPr="0057167C">
        <w:rPr>
          <w:rFonts w:ascii="Arial" w:hAnsi="Arial" w:cs="Arial"/>
          <w:sz w:val="24"/>
          <w:szCs w:val="24"/>
        </w:rPr>
        <w:t xml:space="preserve"> de </w:t>
      </w:r>
      <w:r w:rsidR="00A45932">
        <w:rPr>
          <w:rFonts w:ascii="Arial" w:hAnsi="Arial" w:cs="Arial"/>
          <w:sz w:val="24"/>
          <w:szCs w:val="24"/>
        </w:rPr>
        <w:t>16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4A726BBE" w14:textId="77777777" w:rsidR="0057167C" w:rsidRPr="0057167C" w:rsidRDefault="0057167C" w:rsidP="0057167C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Art. 4.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229C2CC5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5C6E45C0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D76BBD5" w14:textId="77777777" w:rsidR="0057167C" w:rsidRPr="0057167C" w:rsidRDefault="0057167C" w:rsidP="0057167C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6.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1F108F21" w14:textId="77777777" w:rsidR="0057167C" w:rsidRPr="0057167C" w:rsidRDefault="0057167C" w:rsidP="0057167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94FBA08" w14:textId="77777777" w:rsidR="0057167C" w:rsidRPr="0057167C" w:rsidRDefault="0057167C" w:rsidP="0057167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2A0A4F6" w14:textId="77777777" w:rsidR="0057167C" w:rsidRPr="0057167C" w:rsidRDefault="0057167C" w:rsidP="0057167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cel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47E56C53" w14:textId="77777777" w:rsidR="0057167C" w:rsidRPr="0057167C" w:rsidRDefault="0057167C" w:rsidP="0057167C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477988C3" w14:textId="77777777" w:rsidR="0057167C" w:rsidRPr="0057167C" w:rsidRDefault="0057167C" w:rsidP="0057167C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74112" behindDoc="0" locked="0" layoutInCell="1" allowOverlap="1" wp14:anchorId="1D63A2B9" wp14:editId="12665C91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96FA7" w14:textId="77777777" w:rsidR="0057167C" w:rsidRPr="0057167C" w:rsidRDefault="0057167C" w:rsidP="0057167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0ECD1101" w14:textId="77777777" w:rsidR="0057167C" w:rsidRPr="0057167C" w:rsidRDefault="0057167C" w:rsidP="0057167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6C121F73" w14:textId="77777777" w:rsidR="0057167C" w:rsidRPr="0057167C" w:rsidRDefault="0057167C" w:rsidP="0057167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0E4D7D4C" w14:textId="77777777" w:rsidR="0057167C" w:rsidRPr="0057167C" w:rsidRDefault="0057167C" w:rsidP="0057167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DCC87E1" w14:textId="77777777" w:rsidR="0057167C" w:rsidRDefault="0057167C" w:rsidP="0057167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3A859037" w14:textId="77777777" w:rsidR="0057167C" w:rsidRDefault="0057167C" w:rsidP="0057167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3A2B9" id="Text Box 4" o:spid="_x0000_s1028" type="#_x0000_t202" style="position:absolute;left:0;text-align:left;margin-left:254.4pt;margin-top:3.65pt;width:244.7pt;height:125.45pt;z-index:2516741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4C96FA7" w14:textId="77777777" w:rsidR="0057167C" w:rsidRPr="0057167C" w:rsidRDefault="0057167C" w:rsidP="0057167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0ECD1101" w14:textId="77777777" w:rsidR="0057167C" w:rsidRPr="0057167C" w:rsidRDefault="0057167C" w:rsidP="0057167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6C121F73" w14:textId="77777777" w:rsidR="0057167C" w:rsidRPr="0057167C" w:rsidRDefault="0057167C" w:rsidP="0057167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0E4D7D4C" w14:textId="77777777" w:rsidR="0057167C" w:rsidRPr="0057167C" w:rsidRDefault="0057167C" w:rsidP="0057167C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DCC87E1" w14:textId="77777777" w:rsidR="0057167C" w:rsidRDefault="0057167C" w:rsidP="0057167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3A859037" w14:textId="77777777" w:rsidR="0057167C" w:rsidRDefault="0057167C" w:rsidP="0057167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C808E2A" w14:textId="77777777" w:rsidR="0057167C" w:rsidRPr="0057167C" w:rsidRDefault="0057167C" w:rsidP="0057167C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BF9D37B" wp14:editId="3A33075A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F811F" w14:textId="77777777" w:rsidR="0057167C" w:rsidRPr="0057167C" w:rsidRDefault="0057167C" w:rsidP="0057167C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AE93909" w14:textId="77777777" w:rsidR="0057167C" w:rsidRPr="0057167C" w:rsidRDefault="0057167C" w:rsidP="0057167C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203DDFA5" w14:textId="77777777" w:rsidR="0057167C" w:rsidRPr="0057167C" w:rsidRDefault="0057167C" w:rsidP="0057167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9D37B" id="Text Box 2" o:spid="_x0000_s1029" type="#_x0000_t202" style="position:absolute;left:0;text-align:left;margin-left:1.9pt;margin-top:.6pt;width:236.25pt;height:91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105F811F" w14:textId="77777777" w:rsidR="0057167C" w:rsidRPr="0057167C" w:rsidRDefault="0057167C" w:rsidP="0057167C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AE93909" w14:textId="77777777" w:rsidR="0057167C" w:rsidRPr="0057167C" w:rsidRDefault="0057167C" w:rsidP="0057167C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203DDFA5" w14:textId="77777777" w:rsidR="0057167C" w:rsidRPr="0057167C" w:rsidRDefault="0057167C" w:rsidP="0057167C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0ADA9543" w14:textId="77777777" w:rsidR="0057167C" w:rsidRPr="0057167C" w:rsidRDefault="0057167C" w:rsidP="0057167C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7E9CE10F" w14:textId="77777777" w:rsidR="0057167C" w:rsidRPr="0057167C" w:rsidRDefault="0057167C" w:rsidP="005716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37305B7" w14:textId="77777777" w:rsidR="0057167C" w:rsidRDefault="0057167C" w:rsidP="005716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EAF34B1" w14:textId="77777777" w:rsidR="0057167C" w:rsidRDefault="0057167C" w:rsidP="005716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8543C4" w14:textId="77777777" w:rsidR="0057167C" w:rsidRDefault="0057167C" w:rsidP="005716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D858B66" w14:textId="77777777" w:rsidR="0057167C" w:rsidRPr="0057167C" w:rsidRDefault="0057167C" w:rsidP="0057167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9F22A5" w:rsidRPr="00D53CA7" w14:paraId="39321F4A" w14:textId="77777777" w:rsidTr="009F22A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47418FB0" w14:textId="77777777" w:rsidR="009F22A5" w:rsidRPr="009F22A5" w:rsidRDefault="009F22A5" w:rsidP="00CB3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4810DC">
              <w:rPr>
                <w:rFonts w:ascii="Arial" w:hAnsi="Arial" w:cs="Arial"/>
                <w:b/>
                <w:bCs/>
                <w:sz w:val="18"/>
                <w:szCs w:val="18"/>
              </w:rPr>
              <w:t>128/27.06.2024</w:t>
            </w:r>
          </w:p>
        </w:tc>
      </w:tr>
      <w:tr w:rsidR="009F22A5" w:rsidRPr="00D53CA7" w14:paraId="0B3F2BCE" w14:textId="77777777" w:rsidTr="009F22A5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2E7373E" w14:textId="77777777" w:rsidR="009F22A5" w:rsidRPr="009F22A5" w:rsidRDefault="009F22A5" w:rsidP="00CB32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9F22A5" w:rsidRPr="00D53CA7" w14:paraId="070E34AE" w14:textId="77777777" w:rsidTr="009F22A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1802EFE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D977FBD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380C8214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2E6FC07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25F6C51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1CB15C0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9F22A5" w:rsidRPr="00D53CA7" w14:paraId="15FD5CF5" w14:textId="77777777" w:rsidTr="009F22A5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4707BE18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F14721E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1E6AA2BF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BF2358D" w14:textId="77777777" w:rsidR="009F22A5" w:rsidRPr="009F22A5" w:rsidRDefault="009F22A5" w:rsidP="00CB32A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9F22A5" w:rsidRPr="00D53CA7" w14:paraId="4866BA7B" w14:textId="77777777" w:rsidTr="009F22A5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3E3EADC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9B5DB2E" w14:textId="77777777" w:rsidR="009F22A5" w:rsidRPr="009F22A5" w:rsidRDefault="009F22A5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0A644B5" w14:textId="77777777" w:rsidR="009F22A5" w:rsidRPr="009F22A5" w:rsidRDefault="004810DC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5A6BB27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2A5" w:rsidRPr="00D53CA7" w14:paraId="5BC9580B" w14:textId="77777777" w:rsidTr="009F22A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80CEF6E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134A1446" w14:textId="77777777" w:rsidR="009F22A5" w:rsidRPr="009F22A5" w:rsidRDefault="009F22A5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BF87595" w14:textId="77777777" w:rsidR="009F22A5" w:rsidRPr="009F22A5" w:rsidRDefault="004810DC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5C398CB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2A5" w:rsidRPr="00D53CA7" w14:paraId="10F5509E" w14:textId="77777777" w:rsidTr="009F22A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64395F5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79DCAA6C" w14:textId="77777777" w:rsidR="009F22A5" w:rsidRPr="009F22A5" w:rsidRDefault="009F22A5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2182E9F2" w14:textId="77777777" w:rsidR="009F22A5" w:rsidRPr="009F22A5" w:rsidRDefault="004810DC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655B45E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2A5" w:rsidRPr="00D53CA7" w14:paraId="53279F4F" w14:textId="77777777" w:rsidTr="009F22A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E228867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7DD7AA6F" w14:textId="77777777" w:rsidR="009F22A5" w:rsidRPr="009F22A5" w:rsidRDefault="009F22A5" w:rsidP="00CB32A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5B26E6B" w14:textId="77777777" w:rsidR="009F22A5" w:rsidRPr="009F22A5" w:rsidRDefault="004810DC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3942CFB8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2A5" w:rsidRPr="00D53CA7" w14:paraId="0041FF7D" w14:textId="77777777" w:rsidTr="009F22A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2176EE5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48060ED3" w14:textId="77777777" w:rsidR="009F22A5" w:rsidRPr="009F22A5" w:rsidRDefault="009F22A5" w:rsidP="00CB32A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2B738101" w14:textId="77777777" w:rsidR="009F22A5" w:rsidRPr="009F22A5" w:rsidRDefault="004810DC" w:rsidP="00CB32A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928E0BA" w14:textId="77777777" w:rsidR="009F22A5" w:rsidRPr="009F22A5" w:rsidRDefault="009F22A5" w:rsidP="00CB32A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F22A5" w:rsidRPr="00D53CA7" w14:paraId="5D88A127" w14:textId="77777777" w:rsidTr="009F22A5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EF30F8F" w14:textId="77777777" w:rsidR="009F22A5" w:rsidRPr="009F22A5" w:rsidRDefault="009F22A5" w:rsidP="00CB32A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4DA8E726" w14:textId="77777777" w:rsidR="009F22A5" w:rsidRPr="009F22A5" w:rsidRDefault="009F22A5" w:rsidP="00CB32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3B86AF4" w14:textId="77777777" w:rsidR="009F22A5" w:rsidRPr="009F22A5" w:rsidRDefault="009F22A5" w:rsidP="00CB32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cel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34EBFDCA" w14:textId="77777777" w:rsidR="009F22A5" w:rsidRPr="009F22A5" w:rsidRDefault="009F22A5" w:rsidP="00CB32A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5C73FE7B" w14:textId="77777777" w:rsidR="009F22A5" w:rsidRPr="009F22A5" w:rsidRDefault="009F22A5" w:rsidP="00CB32A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68F69530" w14:textId="77777777" w:rsidR="009F22A5" w:rsidRPr="009F22A5" w:rsidRDefault="009F22A5" w:rsidP="00CB32A0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56C650D7" w14:textId="77777777" w:rsidR="009F22A5" w:rsidRPr="009F22A5" w:rsidRDefault="009F22A5" w:rsidP="00CB32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1118325B" w14:textId="77777777" w:rsidR="009F22A5" w:rsidRPr="009F22A5" w:rsidRDefault="009F22A5" w:rsidP="00CB32A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8509643" w14:textId="77777777" w:rsidR="009F22A5" w:rsidRPr="009F22A5" w:rsidRDefault="009F22A5" w:rsidP="00CB32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6A173EF" w14:textId="77777777" w:rsidR="009F22A5" w:rsidRPr="009F22A5" w:rsidRDefault="009F22A5" w:rsidP="00CB32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AE991BC" w14:textId="77777777" w:rsidR="009F22A5" w:rsidRPr="009F22A5" w:rsidRDefault="009F22A5" w:rsidP="00CB32A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D9B366C" w14:textId="77777777" w:rsidR="00AB0FD3" w:rsidRPr="0057167C" w:rsidRDefault="00AB0FD3">
      <w:pPr>
        <w:rPr>
          <w:rFonts w:ascii="Arial" w:hAnsi="Arial" w:cs="Arial"/>
          <w:sz w:val="24"/>
          <w:szCs w:val="24"/>
        </w:rPr>
      </w:pPr>
    </w:p>
    <w:sectPr w:rsidR="00AB0FD3" w:rsidRPr="0057167C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89848699">
    <w:abstractNumId w:val="0"/>
  </w:num>
  <w:num w:numId="2" w16cid:durableId="304824236">
    <w:abstractNumId w:val="3"/>
  </w:num>
  <w:num w:numId="3" w16cid:durableId="1664815217">
    <w:abstractNumId w:val="2"/>
  </w:num>
  <w:num w:numId="4" w16cid:durableId="199852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89C"/>
    <w:rsid w:val="003E3302"/>
    <w:rsid w:val="004810DC"/>
    <w:rsid w:val="0057167C"/>
    <w:rsid w:val="005F189C"/>
    <w:rsid w:val="007E32BC"/>
    <w:rsid w:val="009F22A5"/>
    <w:rsid w:val="00A45932"/>
    <w:rsid w:val="00AB0FD3"/>
    <w:rsid w:val="00B132FF"/>
    <w:rsid w:val="00CB7CFC"/>
    <w:rsid w:val="00F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0C54"/>
  <w15:chartTrackingRefBased/>
  <w15:docId w15:val="{35E59D05-0E4A-4FBD-BFB6-43944611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7167C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67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7167C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3CF4-CE4B-4628-A516-96FC87FB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6</cp:revision>
  <cp:lastPrinted>2024-06-25T10:44:00Z</cp:lastPrinted>
  <dcterms:created xsi:type="dcterms:W3CDTF">2024-06-25T10:18:00Z</dcterms:created>
  <dcterms:modified xsi:type="dcterms:W3CDTF">2024-07-02T12:01:00Z</dcterms:modified>
</cp:coreProperties>
</file>