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bCs/>
        </w:rPr>
      </w:pPr>
      <w:r>
        <w:rPr>
          <w:rFonts w:cs="Times New Roman" w:ascii="Times New Roman" w:hAnsi="Times New Roman"/>
        </w:rPr>
        <w:t>ROMANIA</w:t>
      </w:r>
    </w:p>
    <w:p>
      <w:pPr>
        <w:pStyle w:val="Normal"/>
        <w:spacing w:before="0" w:after="0"/>
        <w:jc w:val="center"/>
        <w:rPr>
          <w:rFonts w:ascii="Times New Roman" w:hAnsi="Times New Roman" w:cs="Times New Roman"/>
        </w:rPr>
      </w:pPr>
      <w:r>
        <w:rPr>
          <w:rFonts w:cs="Times New Roman" w:ascii="Times New Roman" w:hAnsi="Times New Roman"/>
        </w:rPr>
        <w:t>JUDETUL NEAMT</w:t>
      </w:r>
    </w:p>
    <w:p>
      <w:pPr>
        <w:pStyle w:val="Normal"/>
        <w:spacing w:before="0" w:after="0"/>
        <w:jc w:val="center"/>
        <w:rPr>
          <w:rFonts w:ascii="Times New Roman" w:hAnsi="Times New Roman" w:cs="Times New Roman"/>
        </w:rPr>
      </w:pPr>
      <w:r>
        <w:rPr>
          <w:rFonts w:cs="Times New Roman" w:ascii="Times New Roman" w:hAnsi="Times New Roman"/>
        </w:rPr>
        <w:t>COMUNA ION CREANGA</w:t>
      </w:r>
    </w:p>
    <w:p>
      <w:pPr>
        <w:pStyle w:val="Normal"/>
        <w:spacing w:before="0" w:after="0"/>
        <w:jc w:val="center"/>
        <w:rPr>
          <w:rFonts w:ascii="Times New Roman" w:hAnsi="Times New Roman" w:cs="Times New Roman"/>
        </w:rPr>
      </w:pPr>
      <w:r>
        <w:rPr>
          <w:rFonts w:cs="Times New Roman" w:ascii="Times New Roman" w:hAnsi="Times New Roman"/>
        </w:rPr>
        <w:t xml:space="preserve">PRIMAR </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b/>
          <w:b/>
        </w:rPr>
      </w:pPr>
      <w:r>
        <w:rPr>
          <w:rFonts w:cs="Times New Roman" w:ascii="Times New Roman" w:hAnsi="Times New Roman"/>
          <w:b/>
        </w:rPr>
        <w:t>PROIECT  DE  HOTĂRÂRE</w:t>
      </w:r>
    </w:p>
    <w:p>
      <w:pPr>
        <w:pStyle w:val="Normal"/>
        <w:spacing w:before="0" w:after="0"/>
        <w:jc w:val="center"/>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Nr. 39 din 02.04.2025</w:t>
      </w:r>
    </w:p>
    <w:p>
      <w:pPr>
        <w:pStyle w:val="NoSpacing"/>
        <w:spacing w:lineRule="auto" w:line="276"/>
        <w:jc w:val="center"/>
        <w:rPr>
          <w:rFonts w:ascii="Times New Roman" w:hAnsi="Times New Roman" w:cs="Times New Roman"/>
        </w:rPr>
      </w:pPr>
      <w:r>
        <w:rPr>
          <w:rFonts w:cs="Times New Roman" w:ascii="Times New Roman" w:hAnsi="Times New Roman"/>
          <w:b/>
        </w:rPr>
        <w:t>privind aprobarea închirierii prin licitatie publica a unor suprafete de păşune comunala , proprietatea Comunei Ion Creanga și a documentatiilor necesare în vederea atribuirii contractelor de închiriere</w:t>
      </w:r>
      <w:r>
        <w:rPr>
          <w:rFonts w:cs="Times New Roman" w:ascii="Times New Roman" w:hAnsi="Times New Roman"/>
        </w:rPr>
        <w:t>.</w:t>
      </w:r>
    </w:p>
    <w:p>
      <w:pPr>
        <w:pStyle w:val="Normal"/>
        <w:spacing w:before="0" w:after="41"/>
        <w:ind w:left="-15" w:right="424" w:firstLine="710"/>
        <w:rPr>
          <w:rFonts w:ascii="Times New Roman" w:hAnsi="Times New Roman" w:eastAsia="Times New Roman" w:cs="Times New Roman"/>
        </w:rPr>
      </w:pPr>
      <w:r>
        <w:rPr>
          <w:rFonts w:eastAsia="Times New Roman" w:cs="Times New Roman" w:ascii="Times New Roman" w:hAnsi="Times New Roman"/>
        </w:rPr>
      </w:r>
    </w:p>
    <w:p>
      <w:pPr>
        <w:pStyle w:val="Normal"/>
        <w:spacing w:before="0" w:after="41"/>
        <w:ind w:left="-15" w:right="424" w:firstLine="710"/>
        <w:rPr>
          <w:rFonts w:ascii="Times New Roman" w:hAnsi="Times New Roman" w:eastAsia="Times New Roman" w:cs="Times New Roman"/>
        </w:rPr>
      </w:pPr>
      <w:r>
        <w:rPr>
          <w:rFonts w:eastAsia="Times New Roman" w:cs="Times New Roman" w:ascii="Times New Roman" w:hAnsi="Times New Roman"/>
        </w:rPr>
        <w:t>Analizând  temeiurile  juridice:</w:t>
      </w:r>
    </w:p>
    <w:p>
      <w:pPr>
        <w:pStyle w:val="NoSpacing"/>
        <w:spacing w:lineRule="auto" w:line="276"/>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art. 3 lit.,,b si d ” , art. 6 </w:t>
      </w:r>
      <w:r>
        <w:rPr>
          <w:rFonts w:cs="Times New Roman" w:ascii="Times New Roman" w:hAnsi="Times New Roman"/>
          <w:lang w:val="ro-RO"/>
        </w:rPr>
        <w:t xml:space="preserve">alin.(5),  </w:t>
      </w:r>
      <w:r>
        <w:rPr>
          <w:rFonts w:cs="Times New Roman" w:ascii="Times New Roman" w:hAnsi="Times New Roman"/>
        </w:rPr>
        <w:t>art. 9 alin.(1), alin.(2) , alin.(5) alin.(7ˡ) alin.(7³) alin.(9) și art.10 din O.U.G. nr.34/2013 privind organizarea, administrarea şi exploatarea pajiştilor permanente şi pentru modificarea şi completarea Legii fondului funciar nr. 18/1991,cu modificarile si completarile ulterioare;</w:t>
      </w:r>
    </w:p>
    <w:p>
      <w:pPr>
        <w:pStyle w:val="NoSpacing"/>
        <w:spacing w:lineRule="auto" w:line="276"/>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Legea  nr. 86/ 2014 pentru  aprobarea  O.U.G  nr. 34/ 2013 privind organizarea, administrarea şi exploatarea pajiştilor permanente şi pentru modificarea şi completarea Legii fondului funciar nr. 18/1991,cu modificarile si completarile ulterioare;</w:t>
      </w:r>
    </w:p>
    <w:p>
      <w:pPr>
        <w:pStyle w:val="NoSpacing"/>
        <w:spacing w:lineRule="auto" w:line="276"/>
        <w:ind w:right="-27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art.6 din H.G.nr.1064/2013 pentru aprobarea Normelor metodologice pentru aplicarea prevederilor Ordonanţei de urgenţă a Guvernului nr. 34/2013 privind organizarea, administrarea şi exploatarea pajiştilor permanente şi pentru modificarea şi completarea Legii fondului funciar nr. 18/1991,cu modificarile si completarile ulterioare;</w:t>
      </w:r>
    </w:p>
    <w:p>
      <w:pPr>
        <w:pStyle w:val="NoSpacing"/>
        <w:spacing w:lineRule="auto" w:line="276"/>
        <w:ind w:right="-27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H.G  nr. 78 / 2015 privind  modificarea  si  completarea Normelor metodologice pentru aplicarea prevederilor Ordonanţei de urgenţă a Guvernului nr. 34/2013 privind organizarea, administrarea şi exploatarea pajiştilor permanente şi pentru modificarea şi completarea Legii fondului funciar nr. 18/1991,cu modificarile si completarile ulterioare, aprobate  prin  H.G. nr. 1064/ 2013 ;</w:t>
      </w:r>
    </w:p>
    <w:p>
      <w:pPr>
        <w:pStyle w:val="NoSpacing"/>
        <w:spacing w:lineRule="auto" w:line="276"/>
        <w:ind w:right="-27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Legea  nr. 72/ 2002  a  zootehniei , republicata , cu  modificarile  si  completarile  ulterioare , </w:t>
      </w:r>
    </w:p>
    <w:p>
      <w:pPr>
        <w:pStyle w:val="Normal"/>
        <w:spacing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Ordinul nr. 544/ 2013 privind  metodologia  de  calcul a  încărcăturii optime de  animale  pe  hectar  de pajiște, cu  modificarile  si  completarile  ulterioare ;</w:t>
      </w:r>
    </w:p>
    <w:p>
      <w:pPr>
        <w:pStyle w:val="NoSpacing"/>
        <w:spacing w:lineRule="auto" w:line="276"/>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Ordinul comun al M.A.D.R./M.D.R.A.P. nr. 407/2051/2013 privind aprobarea contractelor cadru de concesiune şi închiriere a suprafeţelor de pajişti aflate în domeniul public/privat al comunelor, oraşelor,respectiv al municipiilor;</w:t>
      </w:r>
    </w:p>
    <w:p>
      <w:pPr>
        <w:pStyle w:val="NoSpacing"/>
        <w:spacing w:lineRule="auto" w:line="276"/>
        <w:ind w:righ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art.861 alin.(3),art.867,art.1172 alin.(1)  si art.1176 din Legea nr.287/2009-Codul Civil,cu modificarile si completarile ulterioare;</w:t>
      </w:r>
    </w:p>
    <w:p>
      <w:pPr>
        <w:pStyle w:val="NoSpacing"/>
        <w:spacing w:lineRule="auto" w:line="276"/>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Amenajamentul pastoral pentru pășunile permanente de pe raza comunei Ion Creanga, aprobat prin Hotărârea Consiliului Local  nr. 117/ 18.12.2017;</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art. 96, alin.(3) , art. 108 lit.”c”,, ,art. 286 alin.(4)  , art. 287 lit.” b” , art. 297 alin.(1)  lit. .” c”, art. 310 alin.(1) si (2) lit.”a”si „b”, art. 312 alin.(2) – (4) , (6) si (7), art. 313, art. 317 , art. 318 , </w:t>
      </w:r>
      <w:r>
        <w:rPr>
          <w:rFonts w:eastAsia="Times New Roman" w:cs="Times New Roman" w:ascii="Times New Roman" w:hAnsi="Times New Roman"/>
        </w:rPr>
        <w:t>art. 332 – 348</w:t>
      </w:r>
      <w:r>
        <w:rPr>
          <w:rFonts w:cs="Times New Roman" w:ascii="Times New Roman" w:hAnsi="Times New Roman"/>
        </w:rPr>
        <w:t xml:space="preserve">  art. 355 ,art.362 alin.(1)si alin.(3) din O.U.G. nr. 57/2019 privind Codul administrativ, cu  modificarile  si  completarile  ulterioare,</w:t>
      </w:r>
    </w:p>
    <w:p>
      <w:pPr>
        <w:pStyle w:val="Normal"/>
        <w:spacing w:before="0" w:after="0"/>
        <w:rPr>
          <w:rFonts w:ascii="Times New Roman" w:hAnsi="Times New Roman" w:cs="Times New Roman"/>
        </w:rPr>
      </w:pPr>
      <w:r>
        <w:rPr>
          <w:rFonts w:eastAsia="Times New Roman" w:cs="Times New Roman" w:ascii="Times New Roman" w:hAnsi="Times New Roman"/>
          <w:lang w:val="en-US"/>
        </w:rPr>
        <w:t xml:space="preserve">     </w:t>
      </w:r>
      <w:r>
        <w:rPr>
          <w:rFonts w:eastAsia="Times New Roman" w:cs="Times New Roman" w:ascii="Times New Roman" w:hAnsi="Times New Roman"/>
          <w:lang w:val="en-US"/>
        </w:rPr>
        <w:t>- Legea  nr.273 / 2006  privind  finantele  publice  locale ,cu modificarile  si  completarile ulterioare ,</w:t>
      </w:r>
    </w:p>
    <w:p>
      <w:pPr>
        <w:pStyle w:val="Normal"/>
        <w:spacing w:before="0" w:after="0"/>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 Legea nr. 24/27.03.2000,republicata privind normele de tehnica legislativa pentru elaborarea actelor normative;</w:t>
      </w:r>
    </w:p>
    <w:p>
      <w:pPr>
        <w:pStyle w:val="Normal"/>
        <w:spacing w:before="0" w:after="0"/>
        <w:rPr>
          <w:rFonts w:ascii="Times New Roman" w:hAnsi="Times New Roman" w:cs="Times New Roman"/>
          <w:lang w:val="fr-FR"/>
        </w:rPr>
      </w:pPr>
      <w:r>
        <w:rPr>
          <w:rFonts w:cs="Times New Roman" w:ascii="Times New Roman" w:hAnsi="Times New Roman"/>
          <w:lang w:val="fr-FR"/>
        </w:rPr>
        <w:t xml:space="preserve">     </w:t>
      </w:r>
      <w:r>
        <w:rPr>
          <w:rFonts w:cs="Times New Roman" w:ascii="Times New Roman" w:hAnsi="Times New Roman"/>
          <w:lang w:val="fr-FR"/>
        </w:rPr>
        <w:t>Ținând  cont  de  prevederile :</w:t>
      </w:r>
    </w:p>
    <w:p>
      <w:pPr>
        <w:pStyle w:val="ListParagraph"/>
        <w:numPr>
          <w:ilvl w:val="0"/>
          <w:numId w:val="1"/>
        </w:numPr>
        <w:spacing w:before="0" w:after="0"/>
        <w:contextualSpacing/>
        <w:rPr>
          <w:rFonts w:ascii="Times New Roman" w:hAnsi="Times New Roman" w:cs="Times New Roman"/>
          <w:lang w:val="fr-FR"/>
        </w:rPr>
      </w:pPr>
      <w:r>
        <w:rPr>
          <w:rFonts w:cs="Times New Roman" w:ascii="Times New Roman" w:hAnsi="Times New Roman"/>
          <w:lang w:val="fr-FR"/>
        </w:rPr>
        <w:t xml:space="preserve">H.C.L nr. 29 din 30.03.2018 pentru aprobarea procedurii  de  distribuire a  extraselor din proiectul de  amenajament pastoral  utilizatorilor pajistilor aflate pe  teritoriul comunei Ion Creanga si  stabilirea unor  masuri adiacente , </w:t>
      </w:r>
    </w:p>
    <w:p>
      <w:pPr>
        <w:pStyle w:val="ListParagraph"/>
        <w:numPr>
          <w:ilvl w:val="0"/>
          <w:numId w:val="1"/>
        </w:numPr>
        <w:spacing w:before="0" w:after="0"/>
        <w:contextualSpacing/>
        <w:rPr>
          <w:rFonts w:ascii="Times New Roman" w:hAnsi="Times New Roman" w:eastAsia="Times New Roman" w:cs="Times New Roman"/>
          <w:lang w:val="en-AU" w:eastAsia="ro-RO"/>
        </w:rPr>
      </w:pPr>
      <w:r>
        <w:rPr>
          <w:rFonts w:cs="Times New Roman" w:ascii="Times New Roman" w:hAnsi="Times New Roman"/>
          <w:lang w:val="fr-FR"/>
        </w:rPr>
        <w:t>HC.L nr. 35 din  30.04.2025</w:t>
      </w:r>
      <w:r>
        <w:rPr>
          <w:rFonts w:eastAsia="Times New Roman" w:cs="Times New Roman" w:ascii="Times New Roman" w:hAnsi="Times New Roman"/>
          <w:lang w:val="en-AU" w:eastAsia="ro-RO"/>
        </w:rPr>
        <w:t xml:space="preserve"> </w:t>
      </w:r>
      <w:r>
        <w:rPr>
          <w:rFonts w:eastAsia="Times New Roman" w:cs="Times New Roman" w:ascii="Times New Roman" w:hAnsi="Times New Roman"/>
        </w:rPr>
        <w:t>privind aprobarea unor masuri pentru reglementarea activitatii de pasunat din UAT  Comuna  Ion Creanga ,</w:t>
      </w:r>
    </w:p>
    <w:p>
      <w:pPr>
        <w:pStyle w:val="ListParagraph"/>
        <w:numPr>
          <w:ilvl w:val="0"/>
          <w:numId w:val="1"/>
        </w:numPr>
        <w:spacing w:before="0" w:after="0"/>
        <w:contextualSpacing/>
        <w:rPr>
          <w:rFonts w:ascii="Times New Roman" w:hAnsi="Times New Roman" w:cs="Times New Roman"/>
          <w:lang w:val="fr-FR"/>
        </w:rPr>
      </w:pPr>
      <w:r>
        <w:rPr>
          <w:rFonts w:cs="Times New Roman" w:ascii="Times New Roman" w:hAnsi="Times New Roman"/>
          <w:lang w:val="fr-FR"/>
        </w:rPr>
        <w:t xml:space="preserve">pentru  aprobarea  regulamentului  privind  reglementarea organizarii , administrării si  exploatarii </w:t>
      </w:r>
    </w:p>
    <w:p>
      <w:pPr>
        <w:pStyle w:val="ListParagraph"/>
        <w:numPr>
          <w:ilvl w:val="0"/>
          <w:numId w:val="1"/>
        </w:numPr>
        <w:spacing w:before="0" w:after="0"/>
        <w:contextualSpacing/>
        <w:rPr>
          <w:rFonts w:ascii="Times New Roman" w:hAnsi="Times New Roman" w:cs="Times New Roman"/>
          <w:lang w:val="ro-RO"/>
        </w:rPr>
      </w:pPr>
      <w:r>
        <w:rPr>
          <w:rFonts w:cs="Times New Roman" w:ascii="Times New Roman" w:hAnsi="Times New Roman"/>
        </w:rPr>
        <w:t>H.C.L nr. 33 din 31.03.2022  privind  modificarea si completarea inventarului domeniului public al Comunei Ion Creanga , judetul Neamt , in vederea obtinerii extraselor de  carte  funciară ,  cu  modificarile  si  completarile  ulterioare</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H.C.L  nr. 26 din 23.05.2014  privind  atestarea  apartenentei  la domeniul  privat al  comunei  Ion Creanga a  unor  suprafete de  pajiști  comunale si completarea cu  islazul  comunei  revizuit a  inventarului  bunurilor mobile si  immobile , care  fac  parte din domeniul privat al  comunei  Ion Creanga,   cu  modificarile  si  completarile  ulterioare.</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H.C.L  nr. 1  din 30.01.2023 privind  aprobarea regulamentelor de  organizare si  desfasurare a  licitatiilor publice pentru inchirierea / concesionarea imobilelor ( terenuri , clădiri ) aflate in proprietatea publica  si  private a  UAT- Comuna  Ion Creanga .</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 xml:space="preserve">H.C.L  nr. 58 din 28.04.2023 privind  actualizarea inventarului bunurilor care  apartin  domeniului privat  al  comunei  Ion Creangă , judetul Neamt. </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Contractului de  inchiriere nr. 5041 din 17.06.2015 ,</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Contractului de  inchiriere nr. 5032 din 17.06.2015 ,</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Contractului de  inchiriere nr. 5034 din 17.06.2015 ,</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Contractului de  inchiriere nr. 5040 din 17.06.2015 ,</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Contractului de  inchiriere nr. 5039 din 17.06.2015 ,</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Contractului de  inchiriere nr. 5037 din 17.06.2015 ,</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Luând act de:</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Rapoartele de evaluare  intocmite  de  expert ANEVAR nr. 39  si  40  din 19.03.2025  si inregistrate  la  Primaria  comunei  Ion Creanga  la  nr.  4021  si 4060 din 09.04.2025 ,</w:t>
      </w:r>
    </w:p>
    <w:p>
      <w:pPr>
        <w:pStyle w:val="ListParagraph"/>
        <w:numPr>
          <w:ilvl w:val="0"/>
          <w:numId w:val="1"/>
        </w:numPr>
        <w:spacing w:before="0" w:after="0"/>
        <w:contextualSpacing/>
        <w:jc w:val="both"/>
        <w:rPr>
          <w:rFonts w:ascii="Times New Roman" w:hAnsi="Times New Roman" w:eastAsia="Times New Roman" w:cs="Times New Roman"/>
        </w:rPr>
      </w:pPr>
      <w:r>
        <w:rPr>
          <w:rFonts w:eastAsia="Times New Roman" w:cs="Times New Roman" w:ascii="Times New Roman" w:hAnsi="Times New Roman"/>
        </w:rPr>
        <w:t>referatul  de  aprobare  nr. 3626 din 31.03.2025  al  primarului  comunei  Ion Creanga,</w:t>
      </w:r>
    </w:p>
    <w:p>
      <w:pPr>
        <w:pStyle w:val="ListParagraph"/>
        <w:numPr>
          <w:ilvl w:val="0"/>
          <w:numId w:val="1"/>
        </w:numPr>
        <w:spacing w:before="0" w:after="0"/>
        <w:contextualSpacing/>
        <w:rPr>
          <w:rFonts w:ascii="Times New Roman" w:hAnsi="Times New Roman" w:eastAsia="Times New Roman" w:cs="Times New Roman"/>
          <w:lang w:val="fr-FR" w:eastAsia="ro-RO"/>
        </w:rPr>
      </w:pPr>
      <w:r>
        <w:rPr>
          <w:rFonts w:eastAsia="Times New Roman" w:cs="Times New Roman" w:ascii="Times New Roman" w:hAnsi="Times New Roman"/>
        </w:rPr>
        <w:t xml:space="preserve">raportul de specialitate , nr. 3712 din 01.04.2025 intocmit  de d-na Mariana Trișcău , consilier  in  cadrul  compartimentului administrarea  domeniului  public  si  privat , </w:t>
      </w:r>
    </w:p>
    <w:p>
      <w:pPr>
        <w:pStyle w:val="ListParagraph"/>
        <w:numPr>
          <w:ilvl w:val="0"/>
          <w:numId w:val="1"/>
        </w:numPr>
        <w:spacing w:before="0" w:after="0"/>
        <w:contextualSpacing/>
        <w:rPr>
          <w:rFonts w:ascii="Times New Roman" w:hAnsi="Times New Roman" w:eastAsia="Times New Roman" w:cs="Times New Roman"/>
          <w:lang w:val="fr-FR" w:eastAsia="ro-RO"/>
        </w:rPr>
      </w:pPr>
      <w:r>
        <w:rPr>
          <w:rFonts w:eastAsia="Times New Roman" w:cs="Times New Roman" w:ascii="Times New Roman" w:hAnsi="Times New Roman"/>
        </w:rPr>
        <w:t xml:space="preserve">avizul pentru  legalitate ,intocmit de  secretarul general   UAT ; </w:t>
      </w:r>
    </w:p>
    <w:p>
      <w:pPr>
        <w:pStyle w:val="ListParagraph"/>
        <w:numPr>
          <w:ilvl w:val="0"/>
          <w:numId w:val="1"/>
        </w:numPr>
        <w:spacing w:before="0" w:after="0"/>
        <w:contextualSpacing/>
        <w:rPr>
          <w:rFonts w:ascii="Times New Roman" w:hAnsi="Times New Roman" w:eastAsia="Times New Roman" w:cs="Times New Roman"/>
          <w:lang w:val="fr-FR" w:eastAsia="ro-RO"/>
        </w:rPr>
      </w:pPr>
      <w:r>
        <w:rPr>
          <w:rFonts w:eastAsia="Times New Roman" w:cs="Times New Roman" w:ascii="Times New Roman" w:hAnsi="Times New Roman"/>
        </w:rPr>
        <w:t>avizele  comisiilor  de specialitate  ale  Consiliului  local .</w:t>
      </w:r>
    </w:p>
    <w:p>
      <w:pPr>
        <w:pStyle w:val="NoSpacing"/>
        <w:spacing w:lineRule="auto" w:line="276"/>
        <w:ind w:right="-27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În conformitate cu prevederile art. 129 alin. (2) lit.,,c”  alin.(6) lit.,, a  si b”,art.139 alin.(3) lit.,,g ”, art.196 alin.(1) lit.,, a” ,art.297 alin.(1) lit.,, c”  si art.299 din O.U.G. nr.57/2019 privind Codul administrative,cu modificările şi completările ulterioare.</w:t>
      </w:r>
    </w:p>
    <w:p>
      <w:pPr>
        <w:pStyle w:val="Normal"/>
        <w:spacing w:before="0" w:after="0"/>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b/>
        </w:rPr>
        <w:t>Primarul  Comunei  Ion Creangă , județul  Neamț ,</w:t>
      </w:r>
    </w:p>
    <w:p>
      <w:pPr>
        <w:pStyle w:val="BodyText3"/>
        <w:spacing w:lineRule="auto" w:line="276" w:before="0" w:after="0"/>
        <w:rPr>
          <w:b/>
          <w:b/>
          <w:sz w:val="22"/>
          <w:szCs w:val="22"/>
          <w:lang w:val="fr-FR"/>
        </w:rPr>
      </w:pPr>
      <w:r>
        <w:rPr>
          <w:b/>
          <w:sz w:val="22"/>
          <w:szCs w:val="22"/>
          <w:lang w:val="fr-FR"/>
        </w:rPr>
      </w:r>
    </w:p>
    <w:p>
      <w:pPr>
        <w:pStyle w:val="BodyText3"/>
        <w:spacing w:lineRule="auto" w:line="276" w:before="0" w:after="0"/>
        <w:jc w:val="center"/>
        <w:rPr>
          <w:b/>
          <w:b/>
          <w:sz w:val="22"/>
          <w:szCs w:val="22"/>
          <w:lang w:val="fr-FR"/>
        </w:rPr>
      </w:pPr>
      <w:r>
        <w:rPr>
          <w:b/>
          <w:sz w:val="22"/>
          <w:szCs w:val="22"/>
          <w:lang w:val="fr-FR"/>
        </w:rPr>
        <w:t>PROPUNE :</w:t>
      </w:r>
    </w:p>
    <w:p>
      <w:pPr>
        <w:pStyle w:val="NoSpacing"/>
        <w:spacing w:lineRule="auto" w:line="276"/>
        <w:rPr>
          <w:rFonts w:ascii="Times New Roman" w:hAnsi="Times New Roman" w:cs="Times New Roman"/>
          <w:b/>
          <w:b/>
        </w:rPr>
      </w:pPr>
      <w:r>
        <w:rPr>
          <w:rFonts w:cs="Times New Roman" w:ascii="Times New Roman" w:hAnsi="Times New Roman"/>
          <w:b/>
        </w:rPr>
      </w:r>
    </w:p>
    <w:p>
      <w:pPr>
        <w:pStyle w:val="NoSpacing"/>
        <w:spacing w:lineRule="auto" w:line="276"/>
        <w:ind w:right="-27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b/>
        </w:rPr>
        <w:t>Art.1</w:t>
      </w:r>
      <w:r>
        <w:rPr>
          <w:rFonts w:cs="Times New Roman" w:ascii="Times New Roman" w:hAnsi="Times New Roman"/>
        </w:rPr>
        <w:t xml:space="preserve">. Se aprobă </w:t>
      </w:r>
      <w:r>
        <w:rPr>
          <w:rFonts w:cs="Times New Roman" w:ascii="Times New Roman" w:hAnsi="Times New Roman"/>
          <w:i/>
        </w:rPr>
        <w:t>închirierea prin licitatie publica</w:t>
      </w:r>
      <w:r>
        <w:rPr>
          <w:rFonts w:cs="Times New Roman" w:ascii="Times New Roman" w:hAnsi="Times New Roman"/>
        </w:rPr>
        <w:t xml:space="preserve">, pe o perioada de 10 (zece) ani, a  terenurilor  având  categoria  de  folosință  pasune comunala în suprafata  de  37,73  ha , evidentiata  pe  trupuri  de pășune  cu  6  loturi , </w:t>
      </w:r>
      <w:r>
        <w:rPr>
          <w:rFonts w:cs="Times New Roman" w:ascii="Times New Roman" w:hAnsi="Times New Roman"/>
          <w:i/>
        </w:rPr>
        <w:t>conform  anexei  nr.</w:t>
      </w:r>
      <w:r>
        <w:rPr>
          <w:rFonts w:cs="Times New Roman" w:ascii="Times New Roman" w:hAnsi="Times New Roman"/>
        </w:rPr>
        <w:t xml:space="preserve"> 1 ,  proprietatea  publică  si  private a  comunei  Ion Creangă, crescatorilor de animale persoane  fizice/juridice din comuna Ion Creangă, </w:t>
      </w:r>
    </w:p>
    <w:p>
      <w:pPr>
        <w:pStyle w:val="NoSpacing"/>
        <w:spacing w:lineRule="auto" w:line="276"/>
        <w:ind w:right="-270" w:hanging="0"/>
        <w:rPr>
          <w:rFonts w:ascii="Times New Roman" w:hAnsi="Times New Roman"/>
        </w:rPr>
      </w:pPr>
      <w:r>
        <w:rPr>
          <w:rFonts w:eastAsia="Times New Roman" w:cs="Times New Roman" w:ascii="Times New Roman" w:hAnsi="Times New Roman"/>
        </w:rPr>
        <w:t xml:space="preserve">    </w:t>
      </w:r>
      <w:r>
        <w:rPr>
          <w:rFonts w:eastAsia="Times New Roman" w:cs="Times New Roman" w:ascii="Times New Roman" w:hAnsi="Times New Roman"/>
          <w:b/>
        </w:rPr>
        <w:t>Art. 2</w:t>
      </w:r>
      <w:r>
        <w:rPr>
          <w:rFonts w:eastAsia="Times New Roman" w:cs="Times New Roman" w:ascii="Times New Roman" w:hAnsi="Times New Roman"/>
        </w:rPr>
        <w:t xml:space="preserve"> Se aprobă </w:t>
      </w:r>
      <w:r>
        <w:rPr>
          <w:rFonts w:ascii="Times New Roman" w:hAnsi="Times New Roman"/>
        </w:rPr>
        <w:t xml:space="preserve"> </w:t>
      </w:r>
      <w:r>
        <w:rPr>
          <w:rFonts w:ascii="Times New Roman" w:hAnsi="Times New Roman"/>
          <w:i/>
          <w:iCs/>
        </w:rPr>
        <w:t>studiul de oportunitate</w:t>
      </w:r>
      <w:r>
        <w:rPr>
          <w:rFonts w:ascii="Times New Roman" w:hAnsi="Times New Roman"/>
        </w:rPr>
        <w:t xml:space="preserve"> pentru  aprobarea  inchirierii  , prin licitaţie publică a  pasunii   comunale  disponibile  in  suprafata de  37,73  ha ,   apartinand  domeniului   public si privat al comunei  Ion Creanga, conform </w:t>
      </w:r>
      <w:r>
        <w:rPr>
          <w:rFonts w:ascii="Times New Roman" w:hAnsi="Times New Roman"/>
          <w:i/>
          <w:iCs/>
        </w:rPr>
        <w:t>anexei nr. 2</w:t>
      </w:r>
      <w:r>
        <w:rPr>
          <w:rFonts w:ascii="Times New Roman" w:hAnsi="Times New Roman"/>
        </w:rPr>
        <w:t xml:space="preserve"> –parte integrantă din prezenta.</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 xml:space="preserve">     </w:t>
      </w:r>
      <w:r>
        <w:rPr>
          <w:rFonts w:eastAsia="Calibri" w:cs="Times New Roman" w:ascii="Times New Roman" w:hAnsi="Times New Roman"/>
          <w:b/>
          <w:bCs/>
        </w:rPr>
        <w:t xml:space="preserve">Art.3 </w:t>
      </w:r>
      <w:r>
        <w:rPr>
          <w:rFonts w:eastAsia="Calibri" w:cs="Times New Roman" w:ascii="Times New Roman" w:hAnsi="Times New Roman"/>
        </w:rPr>
        <w:t xml:space="preserve">Se aproba   </w:t>
      </w:r>
      <w:r>
        <w:rPr>
          <w:rFonts w:eastAsia="Calibri" w:cs="Times New Roman" w:ascii="Times New Roman" w:hAnsi="Times New Roman"/>
          <w:i/>
        </w:rPr>
        <w:t>Caietul  de  sarcini   si</w:t>
      </w:r>
      <w:r>
        <w:rPr>
          <w:rFonts w:eastAsia="Calibri" w:cs="Times New Roman" w:ascii="Times New Roman" w:hAnsi="Times New Roman"/>
        </w:rPr>
        <w:t xml:space="preserve">  </w:t>
      </w:r>
      <w:r>
        <w:rPr>
          <w:rFonts w:eastAsia="Calibri" w:cs="Times New Roman" w:ascii="Times New Roman" w:hAnsi="Times New Roman"/>
          <w:i/>
          <w:iCs/>
        </w:rPr>
        <w:t xml:space="preserve">Documentatia de atribuire  impreuna cu  formulare </w:t>
      </w:r>
      <w:r>
        <w:rPr>
          <w:rFonts w:eastAsia="Calibri" w:cs="Times New Roman" w:ascii="Times New Roman" w:hAnsi="Times New Roman"/>
        </w:rPr>
        <w:t xml:space="preserve">, conform </w:t>
      </w:r>
      <w:r>
        <w:rPr>
          <w:rFonts w:eastAsia="Calibri" w:cs="Times New Roman" w:ascii="Times New Roman" w:hAnsi="Times New Roman"/>
          <w:i/>
          <w:iCs/>
        </w:rPr>
        <w:t xml:space="preserve">anexei nr.3  si 4 </w:t>
      </w:r>
      <w:r>
        <w:rPr>
          <w:rFonts w:eastAsia="Calibri" w:cs="Times New Roman" w:ascii="Times New Roman" w:hAnsi="Times New Roman"/>
        </w:rPr>
        <w:t xml:space="preserve"> - parte integrantă din prezenta hotărâre</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bCs/>
        </w:rPr>
        <w:t xml:space="preserve">     </w:t>
      </w:r>
      <w:r>
        <w:rPr>
          <w:rFonts w:eastAsia="Calibri" w:cs="Times New Roman" w:ascii="Times New Roman" w:hAnsi="Times New Roman"/>
          <w:b/>
          <w:bCs/>
        </w:rPr>
        <w:t>Art.4.</w:t>
      </w:r>
      <w:r>
        <w:rPr>
          <w:rFonts w:eastAsia="Calibri" w:cs="Times New Roman" w:ascii="Times New Roman" w:hAnsi="Times New Roman"/>
        </w:rPr>
        <w:t xml:space="preserve">Se aprobă </w:t>
      </w:r>
      <w:r>
        <w:rPr>
          <w:rFonts w:eastAsia="Calibri" w:cs="Times New Roman" w:ascii="Times New Roman" w:hAnsi="Times New Roman"/>
          <w:i/>
          <w:iCs/>
        </w:rPr>
        <w:t>Regulamentului procedurii de licitație</w:t>
      </w:r>
      <w:r>
        <w:rPr>
          <w:rFonts w:eastAsia="Calibri" w:cs="Times New Roman" w:ascii="Times New Roman" w:hAnsi="Times New Roman"/>
        </w:rPr>
        <w:t xml:space="preserve">, conform </w:t>
      </w:r>
      <w:r>
        <w:rPr>
          <w:rFonts w:eastAsia="Calibri" w:cs="Times New Roman" w:ascii="Times New Roman" w:hAnsi="Times New Roman"/>
          <w:i/>
          <w:iCs/>
        </w:rPr>
        <w:t>anexei nr. 5</w:t>
      </w:r>
      <w:r>
        <w:rPr>
          <w:rFonts w:eastAsia="Calibri" w:cs="Times New Roman" w:ascii="Times New Roman" w:hAnsi="Times New Roman"/>
        </w:rPr>
        <w:t xml:space="preserve"> parte integrantă din prezenta </w:t>
      </w:r>
    </w:p>
    <w:p>
      <w:pPr>
        <w:pStyle w:val="Normal"/>
        <w:spacing w:before="0" w:after="0"/>
        <w:rPr>
          <w:rFonts w:ascii="Times New Roman" w:hAnsi="Times New Roman" w:cs="Times New Roman"/>
        </w:rPr>
      </w:pPr>
      <w:r>
        <w:rPr>
          <w:rFonts w:eastAsia="Calibri" w:cs="Times New Roman" w:ascii="Times New Roman" w:hAnsi="Times New Roman"/>
          <w:b/>
          <w:bCs/>
        </w:rPr>
        <w:t xml:space="preserve">   </w:t>
      </w:r>
      <w:r>
        <w:rPr>
          <w:rFonts w:eastAsia="Calibri" w:cs="Times New Roman" w:ascii="Times New Roman" w:hAnsi="Times New Roman"/>
          <w:b/>
          <w:bCs/>
        </w:rPr>
        <w:t xml:space="preserve">Art. 5. </w:t>
      </w:r>
      <w:r>
        <w:rPr>
          <w:rFonts w:eastAsia="Calibri" w:cs="Times New Roman" w:ascii="Times New Roman" w:hAnsi="Times New Roman"/>
        </w:rPr>
        <w:t xml:space="preserve">Se aprobă </w:t>
      </w:r>
      <w:r>
        <w:rPr>
          <w:rFonts w:eastAsia="Calibri" w:cs="Times New Roman" w:ascii="Times New Roman" w:hAnsi="Times New Roman"/>
          <w:i/>
          <w:iCs/>
        </w:rPr>
        <w:t>pretul de pornire  al  licitatiei</w:t>
      </w:r>
      <w:r>
        <w:rPr>
          <w:rFonts w:eastAsia="Calibri" w:cs="Times New Roman" w:ascii="Times New Roman" w:hAnsi="Times New Roman"/>
        </w:rPr>
        <w:t xml:space="preserve">  conform  rapoartelor  de  evaluare  realizate  de expert ANEVAR  </w:t>
      </w:r>
      <w:r>
        <w:rPr>
          <w:rFonts w:cs="Times New Roman" w:ascii="Times New Roman" w:hAnsi="Times New Roman"/>
        </w:rPr>
        <w:t>anexa  nr. 6 la  prezenta .</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bCs/>
        </w:rPr>
        <w:t xml:space="preserve">     </w:t>
      </w:r>
    </w:p>
    <w:p>
      <w:pPr>
        <w:pStyle w:val="Normal"/>
        <w:spacing w:before="0" w:after="0"/>
        <w:rPr>
          <w:rFonts w:ascii="Times New Roman" w:hAnsi="Times New Roman" w:cs="Times New Roman"/>
        </w:rPr>
      </w:pPr>
      <w:r>
        <w:rPr>
          <w:rFonts w:cs="Times New Roman" w:ascii="Times New Roman" w:hAnsi="Times New Roman"/>
          <w:b/>
        </w:rPr>
        <w:t xml:space="preserve">   </w:t>
      </w:r>
      <w:r>
        <w:rPr>
          <w:rFonts w:cs="Times New Roman" w:ascii="Times New Roman" w:hAnsi="Times New Roman"/>
          <w:b/>
        </w:rPr>
        <w:t xml:space="preserve">Art. 6  </w:t>
      </w:r>
      <w:r>
        <w:rPr>
          <w:rFonts w:cs="Times New Roman" w:ascii="Times New Roman" w:hAnsi="Times New Roman"/>
        </w:rPr>
        <w:t>Se</w:t>
      </w:r>
      <w:r>
        <w:rPr>
          <w:rFonts w:eastAsia="Times New Roman" w:cs="Times New Roman" w:ascii="Times New Roman" w:hAnsi="Times New Roman"/>
          <w:b/>
          <w:bCs/>
          <w:lang w:val="fr-FR"/>
        </w:rPr>
        <w:t xml:space="preserve"> </w:t>
      </w:r>
      <w:r>
        <w:rPr>
          <w:rFonts w:eastAsia="Times New Roman" w:cs="Times New Roman" w:ascii="Times New Roman" w:hAnsi="Times New Roman"/>
          <w:lang w:val="fr-FR"/>
        </w:rPr>
        <w:t xml:space="preserve"> aproba  numirea    reprezentantii  Consiliului  local  al Comunei  Ion Creanga in vederea  constituirii  comisiei de evaluare a  ofertelor pentru  inchirierea pasune  comunala mentionata  la  art. 1 , </w:t>
      </w:r>
      <w:r>
        <w:rPr>
          <w:rFonts w:cs="Times New Roman" w:ascii="Times New Roman" w:hAnsi="Times New Roman"/>
        </w:rPr>
        <w:t>, membri  titulari , urmatorii :</w:t>
      </w:r>
    </w:p>
    <w:p>
      <w:pPr>
        <w:pStyle w:val="ListParagraph"/>
        <w:numPr>
          <w:ilvl w:val="0"/>
          <w:numId w:val="2"/>
        </w:numPr>
        <w:spacing w:before="0" w:after="0"/>
        <w:contextualSpacing/>
        <w:rPr>
          <w:rFonts w:ascii="Times New Roman" w:hAnsi="Times New Roman" w:cs="Times New Roman"/>
        </w:rPr>
      </w:pPr>
      <w:r>
        <w:rPr>
          <w:rFonts w:cs="Times New Roman" w:ascii="Times New Roman" w:hAnsi="Times New Roman"/>
        </w:rPr>
        <w:t>………………………</w:t>
      </w:r>
      <w:r>
        <w:rPr>
          <w:rFonts w:cs="Times New Roman" w:ascii="Times New Roman" w:hAnsi="Times New Roman"/>
        </w:rPr>
        <w:t>.,reprezentantul Primarului , presedinte titular  comisiei  de  evaluare</w:t>
      </w:r>
    </w:p>
    <w:p>
      <w:pPr>
        <w:pStyle w:val="ListParagraph"/>
        <w:numPr>
          <w:ilvl w:val="0"/>
          <w:numId w:val="2"/>
        </w:numPr>
        <w:spacing w:before="0" w:after="0"/>
        <w:contextualSpacing/>
        <w:rPr>
          <w:rFonts w:ascii="Times New Roman" w:hAnsi="Times New Roman" w:cs="Times New Roman"/>
        </w:rPr>
      </w:pPr>
      <w:r>
        <w:rPr>
          <w:rFonts w:cs="Times New Roman" w:ascii="Times New Roman" w:hAnsi="Times New Roman"/>
        </w:rPr>
        <w:t>……………………………………</w:t>
      </w:r>
      <w:r>
        <w:rPr>
          <w:rFonts w:cs="Times New Roman" w:ascii="Times New Roman" w:hAnsi="Times New Roman"/>
        </w:rPr>
        <w:t>... .. reprezentantul Consiliului  local ,membru titluar,</w:t>
      </w:r>
    </w:p>
    <w:p>
      <w:pPr>
        <w:pStyle w:val="ListParagraph"/>
        <w:numPr>
          <w:ilvl w:val="0"/>
          <w:numId w:val="2"/>
        </w:numPr>
        <w:spacing w:before="0" w:after="0"/>
        <w:contextualSpacing/>
        <w:rPr>
          <w:rFonts w:ascii="Times New Roman" w:hAnsi="Times New Roman" w:cs="Times New Roman"/>
        </w:rPr>
      </w:pPr>
      <w:r>
        <w:rPr>
          <w:rFonts w:cs="Times New Roman" w:ascii="Times New Roman" w:hAnsi="Times New Roman"/>
        </w:rPr>
        <w:t>...............................................................reprezentantul Consiliului  local , membru titular,</w:t>
      </w:r>
    </w:p>
    <w:p>
      <w:pPr>
        <w:pStyle w:val="ListParagraph"/>
        <w:numPr>
          <w:ilvl w:val="0"/>
          <w:numId w:val="2"/>
        </w:numPr>
        <w:spacing w:before="0" w:after="0"/>
        <w:contextualSpacing/>
        <w:rPr>
          <w:rFonts w:ascii="Times New Roman" w:hAnsi="Times New Roman" w:cs="Times New Roman"/>
        </w:rPr>
      </w:pPr>
      <w:r>
        <w:rPr>
          <w:rFonts w:cs="Times New Roman" w:ascii="Times New Roman" w:hAnsi="Times New Roman"/>
        </w:rPr>
        <w:t>...............................................................reprezentantul Consiliului  local , membru titular,</w:t>
      </w:r>
    </w:p>
    <w:p>
      <w:pPr>
        <w:pStyle w:val="ListParagraph"/>
        <w:numPr>
          <w:ilvl w:val="0"/>
          <w:numId w:val="2"/>
        </w:numPr>
        <w:spacing w:before="0" w:after="0"/>
        <w:contextualSpacing/>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 reprezentantul  Primarului, membru titular, </w:t>
      </w:r>
    </w:p>
    <w:p>
      <w:pPr>
        <w:pStyle w:val="ListParagraph"/>
        <w:numPr>
          <w:ilvl w:val="0"/>
          <w:numId w:val="2"/>
        </w:numPr>
        <w:spacing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reprezentantul Primarului, membru titular,  </w:t>
      </w:r>
    </w:p>
    <w:p>
      <w:pPr>
        <w:pStyle w:val="ListParagraph"/>
        <w:numPr>
          <w:ilvl w:val="0"/>
          <w:numId w:val="2"/>
        </w:numPr>
        <w:spacing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.........................................................,reprezentant  ANAF , membru titular, </w:t>
      </w:r>
    </w:p>
    <w:p>
      <w:pPr>
        <w:pStyle w:val="ListParagraph"/>
        <w:numPr>
          <w:ilvl w:val="0"/>
          <w:numId w:val="2"/>
        </w:numPr>
        <w:spacing w:before="0" w:after="0"/>
        <w:contextualSpacing/>
        <w:rPr>
          <w:rFonts w:ascii="Times New Roman" w:hAnsi="Times New Roman" w:cs="Times New Roman"/>
        </w:rPr>
      </w:pPr>
      <w:r>
        <w:rPr>
          <w:rFonts w:cs="Times New Roman" w:ascii="Times New Roman" w:hAnsi="Times New Roman"/>
        </w:rPr>
        <w:t xml:space="preserve"> ………………………………… …</w:t>
      </w:r>
      <w:r>
        <w:rPr>
          <w:rFonts w:cs="Times New Roman" w:ascii="Times New Roman" w:hAnsi="Times New Roman"/>
        </w:rPr>
        <w:t>, secretar  titular al comisiei  (fara drept de  vot )</w:t>
      </w:r>
    </w:p>
    <w:p>
      <w:pPr>
        <w:pStyle w:val="Normal"/>
        <w:spacing w:before="0" w:after="0"/>
        <w:rPr>
          <w:rFonts w:ascii="Times New Roman" w:hAnsi="Times New Roman" w:cs="Times New Roman"/>
        </w:rPr>
      </w:pPr>
      <w:r>
        <w:rPr>
          <w:rFonts w:cs="Times New Roman" w:ascii="Times New Roman" w:hAnsi="Times New Roman"/>
          <w:b/>
        </w:rPr>
        <w:t xml:space="preserve">  </w:t>
      </w:r>
      <w:r>
        <w:rPr>
          <w:rFonts w:cs="Times New Roman" w:ascii="Times New Roman" w:hAnsi="Times New Roman"/>
          <w:b/>
        </w:rPr>
        <w:t xml:space="preserve">Art. 7 </w:t>
      </w:r>
      <w:r>
        <w:rPr>
          <w:rFonts w:cs="Times New Roman" w:ascii="Times New Roman" w:hAnsi="Times New Roman"/>
        </w:rPr>
        <w:t>Se  aproba numirea  urmatorilor  supleanti, in  cazul in  care una dintre  persoanele nominalizate la  art.6  nu  poate  participa  din  motive  obiective , in   comisia  de  evaluare a  ofertantilor  pentru  inchirierea  pășune  comunala , urmatorii :</w:t>
      </w:r>
    </w:p>
    <w:p>
      <w:pPr>
        <w:pStyle w:val="ListParagraph"/>
        <w:numPr>
          <w:ilvl w:val="0"/>
          <w:numId w:val="3"/>
        </w:numPr>
        <w:spacing w:before="0" w:after="0"/>
        <w:contextualSpacing/>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,reprezentantul Primarului ,presedinte  supleant al  comisiei  de  evaluare a  ofertelor  </w:t>
      </w:r>
    </w:p>
    <w:p>
      <w:pPr>
        <w:pStyle w:val="ListParagraph"/>
        <w:numPr>
          <w:ilvl w:val="0"/>
          <w:numId w:val="3"/>
        </w:numPr>
        <w:spacing w:before="0" w:after="0"/>
        <w:contextualSpacing/>
        <w:rPr>
          <w:rFonts w:ascii="Times New Roman" w:hAnsi="Times New Roman" w:cs="Times New Roman"/>
        </w:rPr>
      </w:pPr>
      <w:r>
        <w:rPr>
          <w:rFonts w:cs="Times New Roman" w:ascii="Times New Roman" w:hAnsi="Times New Roman"/>
        </w:rPr>
        <w:t>...............................................................reprezentantul Consiliului  local ,membru supleant ,</w:t>
      </w:r>
    </w:p>
    <w:p>
      <w:pPr>
        <w:pStyle w:val="ListParagraph"/>
        <w:numPr>
          <w:ilvl w:val="0"/>
          <w:numId w:val="3"/>
        </w:numPr>
        <w:spacing w:before="0" w:after="0"/>
        <w:contextualSpacing/>
        <w:rPr>
          <w:rFonts w:ascii="Times New Roman" w:hAnsi="Times New Roman" w:cs="Times New Roman"/>
        </w:rPr>
      </w:pPr>
      <w:r>
        <w:rPr>
          <w:rFonts w:cs="Times New Roman" w:ascii="Times New Roman" w:hAnsi="Times New Roman"/>
        </w:rPr>
        <w:t>……………………………………</w:t>
      </w:r>
      <w:r>
        <w:rPr>
          <w:rFonts w:cs="Times New Roman" w:ascii="Times New Roman" w:hAnsi="Times New Roman"/>
        </w:rPr>
        <w:t>..... reprezentantul Consiliului  local , membru supleant ,</w:t>
      </w:r>
    </w:p>
    <w:p>
      <w:pPr>
        <w:pStyle w:val="ListParagraph"/>
        <w:numPr>
          <w:ilvl w:val="0"/>
          <w:numId w:val="3"/>
        </w:numPr>
        <w:spacing w:before="0" w:after="0"/>
        <w:contextualSpacing/>
        <w:rPr>
          <w:rFonts w:ascii="Times New Roman" w:hAnsi="Times New Roman" w:cs="Times New Roman"/>
        </w:rPr>
      </w:pPr>
      <w:r>
        <w:rPr>
          <w:rFonts w:cs="Times New Roman" w:ascii="Times New Roman" w:hAnsi="Times New Roman"/>
        </w:rPr>
        <w:t>……………………………………</w:t>
      </w:r>
      <w:r>
        <w:rPr>
          <w:rFonts w:cs="Times New Roman" w:ascii="Times New Roman" w:hAnsi="Times New Roman"/>
        </w:rPr>
        <w:t>..... reprezentantul Consiliului  local , membru supleant ,</w:t>
      </w:r>
    </w:p>
    <w:p>
      <w:pPr>
        <w:pStyle w:val="ListParagraph"/>
        <w:numPr>
          <w:ilvl w:val="0"/>
          <w:numId w:val="3"/>
        </w:numPr>
        <w:spacing w:before="0" w:after="0"/>
        <w:contextualSpacing/>
        <w:rPr>
          <w:rFonts w:ascii="Times New Roman" w:hAnsi="Times New Roman" w:cs="Times New Roman"/>
        </w:rPr>
      </w:pPr>
      <w:r>
        <w:rPr>
          <w:rFonts w:cs="Times New Roman" w:ascii="Times New Roman" w:hAnsi="Times New Roman"/>
        </w:rPr>
        <w:t>………………………………………</w:t>
      </w:r>
      <w:r>
        <w:rPr>
          <w:rFonts w:cs="Times New Roman" w:ascii="Times New Roman" w:hAnsi="Times New Roman"/>
        </w:rPr>
        <w:t>, reprezentantul  Primarului , membru supleant ,</w:t>
      </w:r>
    </w:p>
    <w:p>
      <w:pPr>
        <w:pStyle w:val="ListParagraph"/>
        <w:numPr>
          <w:ilvl w:val="0"/>
          <w:numId w:val="3"/>
        </w:numPr>
        <w:spacing w:before="0" w:after="0"/>
        <w:contextualSpacing/>
        <w:rPr>
          <w:rFonts w:ascii="Times New Roman" w:hAnsi="Times New Roman" w:cs="Times New Roman"/>
        </w:rPr>
      </w:pPr>
      <w:r>
        <w:rPr>
          <w:rFonts w:cs="Times New Roman" w:ascii="Times New Roman" w:hAnsi="Times New Roman"/>
        </w:rPr>
        <w:t>……………………………………</w:t>
      </w:r>
      <w:r>
        <w:rPr>
          <w:rFonts w:cs="Times New Roman" w:ascii="Times New Roman" w:hAnsi="Times New Roman"/>
        </w:rPr>
        <w:t>.. , reprezentantul Primarului , membru supleant ,</w:t>
      </w:r>
    </w:p>
    <w:p>
      <w:pPr>
        <w:pStyle w:val="ListParagraph"/>
        <w:numPr>
          <w:ilvl w:val="0"/>
          <w:numId w:val="3"/>
        </w:numPr>
        <w:spacing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........................................................,reprezentant  ANAF </w:t>
      </w:r>
    </w:p>
    <w:p>
      <w:pPr>
        <w:pStyle w:val="ListParagraph"/>
        <w:numPr>
          <w:ilvl w:val="0"/>
          <w:numId w:val="3"/>
        </w:numPr>
        <w:spacing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secretar supleant  comisiei  ( făra drept de  vot )</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b/>
        </w:rPr>
        <w:t>Art. 8</w:t>
      </w:r>
      <w:r>
        <w:rPr>
          <w:rFonts w:cs="Times New Roman" w:ascii="Times New Roman" w:hAnsi="Times New Roman"/>
        </w:rPr>
        <w:t xml:space="preserve">  Atributiile  comisiei de evaluare a  ofertantilor  pentru  inchirerea  pasune  comunala , sunt  urmatoarele :</w:t>
      </w:r>
    </w:p>
    <w:p>
      <w:pPr>
        <w:pStyle w:val="ListParagraph"/>
        <w:numPr>
          <w:ilvl w:val="0"/>
          <w:numId w:val="1"/>
        </w:numPr>
        <w:spacing w:before="0" w:after="0"/>
        <w:ind w:left="644" w:hanging="36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analizarea  si  selectarea  ofertelor pe  baza datelor , informatiilor si documentelor cuprinse in plicul exterior ,</w:t>
      </w:r>
    </w:p>
    <w:p>
      <w:pPr>
        <w:pStyle w:val="ListParagraph"/>
        <w:numPr>
          <w:ilvl w:val="0"/>
          <w:numId w:val="1"/>
        </w:numPr>
        <w:spacing w:before="0" w:after="0"/>
        <w:ind w:left="644" w:hanging="360"/>
        <w:contextualSpacing/>
        <w:rPr>
          <w:rFonts w:ascii="Times New Roman" w:hAnsi="Times New Roman" w:cs="Times New Roman"/>
        </w:rPr>
      </w:pPr>
      <w:r>
        <w:rPr>
          <w:rFonts w:cs="Times New Roman" w:ascii="Times New Roman" w:hAnsi="Times New Roman"/>
        </w:rPr>
        <w:t>Intocmirea listei cuprinzand  ofertele admise si  comunicarea  acesteia,</w:t>
      </w:r>
    </w:p>
    <w:p>
      <w:pPr>
        <w:pStyle w:val="ListParagraph"/>
        <w:numPr>
          <w:ilvl w:val="0"/>
          <w:numId w:val="1"/>
        </w:numPr>
        <w:spacing w:before="0" w:after="0"/>
        <w:ind w:left="644" w:hanging="360"/>
        <w:contextualSpacing/>
        <w:rPr>
          <w:rFonts w:ascii="Times New Roman" w:hAnsi="Times New Roman" w:cs="Times New Roman"/>
        </w:rPr>
      </w:pPr>
      <w:r>
        <w:rPr>
          <w:rFonts w:cs="Times New Roman" w:ascii="Times New Roman" w:hAnsi="Times New Roman"/>
        </w:rPr>
        <w:t>Analiza si evaluarea ofertelor ,</w:t>
      </w:r>
    </w:p>
    <w:p>
      <w:pPr>
        <w:pStyle w:val="ListParagraph"/>
        <w:numPr>
          <w:ilvl w:val="0"/>
          <w:numId w:val="1"/>
        </w:numPr>
        <w:spacing w:before="0" w:after="0"/>
        <w:ind w:left="644" w:hanging="360"/>
        <w:contextualSpacing/>
        <w:rPr>
          <w:rFonts w:ascii="Times New Roman" w:hAnsi="Times New Roman" w:cs="Times New Roman"/>
        </w:rPr>
      </w:pPr>
      <w:r>
        <w:rPr>
          <w:rFonts w:cs="Times New Roman" w:ascii="Times New Roman" w:hAnsi="Times New Roman"/>
        </w:rPr>
        <w:t>Intocmirea  raportului de evaluare ,</w:t>
      </w:r>
    </w:p>
    <w:p>
      <w:pPr>
        <w:pStyle w:val="ListParagraph"/>
        <w:numPr>
          <w:ilvl w:val="0"/>
          <w:numId w:val="1"/>
        </w:numPr>
        <w:spacing w:before="0" w:after="0"/>
        <w:ind w:left="644" w:hanging="360"/>
        <w:contextualSpacing/>
        <w:rPr>
          <w:rFonts w:ascii="Times New Roman" w:hAnsi="Times New Roman" w:cs="Times New Roman"/>
        </w:rPr>
      </w:pPr>
      <w:r>
        <w:rPr>
          <w:rFonts w:cs="Times New Roman" w:ascii="Times New Roman" w:hAnsi="Times New Roman"/>
        </w:rPr>
        <w:t>Intocmirea  proceselor  verbale ,</w:t>
      </w:r>
    </w:p>
    <w:p>
      <w:pPr>
        <w:pStyle w:val="ListParagraph"/>
        <w:numPr>
          <w:ilvl w:val="0"/>
          <w:numId w:val="1"/>
        </w:numPr>
        <w:spacing w:before="0" w:after="0"/>
        <w:ind w:left="644" w:hanging="360"/>
        <w:contextualSpacing/>
        <w:rPr>
          <w:rFonts w:ascii="Times New Roman" w:hAnsi="Times New Roman" w:cs="Times New Roman"/>
        </w:rPr>
      </w:pPr>
      <w:r>
        <w:rPr>
          <w:rFonts w:cs="Times New Roman" w:ascii="Times New Roman" w:hAnsi="Times New Roman"/>
        </w:rPr>
        <w:t>Desemnarea  ofertei  castigatoare ,</w:t>
      </w:r>
    </w:p>
    <w:p>
      <w:pPr>
        <w:pStyle w:val="ListParagraph"/>
        <w:numPr>
          <w:ilvl w:val="0"/>
          <w:numId w:val="1"/>
        </w:numPr>
        <w:spacing w:before="0" w:after="0"/>
        <w:ind w:left="644" w:hanging="360"/>
        <w:contextualSpacing/>
        <w:rPr>
          <w:rFonts w:ascii="Times New Roman" w:hAnsi="Times New Roman" w:cs="Times New Roman"/>
        </w:rPr>
      </w:pPr>
      <w:r>
        <w:rPr>
          <w:rFonts w:cs="Times New Roman" w:ascii="Times New Roman" w:hAnsi="Times New Roman"/>
        </w:rPr>
        <w:t>Precum si analizarea  oricaror situatii ce  pot  aparea  in  cadrul licitatiei ,</w:t>
      </w:r>
    </w:p>
    <w:p>
      <w:pPr>
        <w:pStyle w:val="Normal"/>
        <w:tabs>
          <w:tab w:val="clear" w:pos="720"/>
          <w:tab w:val="left" w:pos="567" w:leader="none"/>
          <w:tab w:val="left" w:pos="851" w:leader="none"/>
        </w:tabs>
        <w:spacing w:before="0" w:after="0"/>
        <w:rPr>
          <w:rFonts w:ascii="Times New Roman" w:hAnsi="Times New Roman" w:eastAsia="Calibri" w:cs="Times New Roman"/>
        </w:rPr>
      </w:pPr>
      <w:r>
        <w:rPr>
          <w:rFonts w:eastAsia="Calibri" w:cs="Times New Roman" w:ascii="Times New Roman" w:hAnsi="Times New Roman"/>
          <w:b/>
          <w:bCs/>
        </w:rPr>
        <w:t xml:space="preserve">     </w:t>
      </w:r>
      <w:r>
        <w:rPr>
          <w:rFonts w:eastAsia="Calibri" w:cs="Times New Roman" w:ascii="Times New Roman" w:hAnsi="Times New Roman"/>
          <w:b/>
          <w:bCs/>
        </w:rPr>
        <w:t>Art. 9</w:t>
      </w:r>
      <w:r>
        <w:rPr>
          <w:rFonts w:eastAsia="Calibri" w:cs="Times New Roman" w:ascii="Times New Roman" w:hAnsi="Times New Roman"/>
        </w:rPr>
        <w:t>.  Primarul comunei Ion Creanga prin  compartimentele  de  specialitate ,vor aduce la îndeplinire prevederile acesteia.</w:t>
      </w:r>
    </w:p>
    <w:p>
      <w:pPr>
        <w:pStyle w:val="Normal"/>
        <w:spacing w:before="0" w:after="0"/>
        <w:rPr>
          <w:rFonts w:ascii="Times New Roman" w:hAnsi="Times New Roman" w:eastAsia="Times New Roman" w:cs="Times New Roman"/>
          <w:lang w:val="en-US"/>
        </w:rPr>
      </w:pPr>
      <w:r>
        <w:rPr>
          <w:rFonts w:eastAsia="Times New Roman" w:cs="Times New Roman" w:ascii="Times New Roman" w:hAnsi="Times New Roman"/>
          <w:b/>
          <w:lang w:val="en-US"/>
        </w:rPr>
        <w:t xml:space="preserve">     </w:t>
      </w:r>
      <w:r>
        <w:rPr>
          <w:rFonts w:eastAsia="Times New Roman" w:cs="Times New Roman" w:ascii="Times New Roman" w:hAnsi="Times New Roman"/>
          <w:b/>
          <w:lang w:val="en-US"/>
        </w:rPr>
        <w:t>Art. 10</w:t>
      </w:r>
      <w:r>
        <w:rPr>
          <w:rFonts w:eastAsia="Times New Roman" w:cs="Times New Roman" w:ascii="Times New Roman" w:hAnsi="Times New Roman"/>
          <w:lang w:val="en-US"/>
        </w:rPr>
        <w:t xml:space="preserve">  Secretarul general al  UAT , va  comunica  prezenta  instituţiilor , autorităților  si  persoanelor  interesate .</w:t>
      </w:r>
    </w:p>
    <w:p>
      <w:pPr>
        <w:pStyle w:val="NoSpacing"/>
        <w:spacing w:lineRule="auto" w:line="276"/>
        <w:jc w:val="both"/>
        <w:rPr>
          <w:rFonts w:ascii="Times New Roman" w:hAnsi="Times New Roman" w:cs="Times New Roman"/>
        </w:rPr>
      </w:pPr>
      <w:r>
        <w:rPr>
          <w:rFonts w:cs="Times New Roman" w:ascii="Times New Roman" w:hAnsi="Times New Roman"/>
        </w:rPr>
      </w:r>
    </w:p>
    <w:p>
      <w:pPr>
        <w:pStyle w:val="NoSpacing"/>
        <w:spacing w:lineRule="auto" w:line="276"/>
        <w:jc w:val="both"/>
        <w:rPr>
          <w:rFonts w:ascii="Times New Roman" w:hAnsi="Times New Roman" w:cs="Times New Roman"/>
        </w:rPr>
      </w:pPr>
      <w:r>
        <w:rPr>
          <w:rFonts w:cs="Times New Roman" w:ascii="Times New Roman" w:hAnsi="Times New Roman"/>
        </w:rPr>
      </w:r>
    </w:p>
    <w:p>
      <w:pPr>
        <w:pStyle w:val="NoSpacing"/>
        <w:spacing w:lineRule="auto" w:line="276"/>
        <w:jc w:val="center"/>
        <w:rPr>
          <w:rFonts w:ascii="Times New Roman" w:hAnsi="Times New Roman" w:cs="Times New Roman"/>
        </w:rPr>
      </w:pPr>
      <w:r>
        <w:rPr>
          <w:rFonts w:cs="Times New Roman" w:ascii="Times New Roman" w:hAnsi="Times New Roman"/>
        </w:rPr>
        <w:t xml:space="preserve">INITIATOR </w:t>
      </w:r>
    </w:p>
    <w:p>
      <w:pPr>
        <w:pStyle w:val="NoSpacing"/>
        <w:spacing w:lineRule="auto" w:line="276"/>
        <w:jc w:val="center"/>
        <w:rPr>
          <w:rFonts w:ascii="Times New Roman" w:hAnsi="Times New Roman" w:cs="Times New Roman"/>
        </w:rPr>
      </w:pPr>
      <w:r>
        <w:rPr>
          <w:rFonts w:cs="Times New Roman" w:ascii="Times New Roman" w:hAnsi="Times New Roman"/>
        </w:rPr>
        <w:t xml:space="preserve">Primar </w:t>
      </w:r>
    </w:p>
    <w:p>
      <w:pPr>
        <w:pStyle w:val="NoSpacing"/>
        <w:spacing w:lineRule="auto" w:line="276"/>
        <w:jc w:val="center"/>
        <w:rPr>
          <w:rFonts w:ascii="Times New Roman" w:hAnsi="Times New Roman" w:cs="Times New Roman"/>
        </w:rPr>
      </w:pPr>
      <w:r>
        <w:rPr>
          <w:rFonts w:cs="Times New Roman" w:ascii="Times New Roman" w:hAnsi="Times New Roman"/>
        </w:rPr>
        <w:t xml:space="preserve">Dumitru- Dorin TABACARIU </w:t>
      </w:r>
    </w:p>
    <w:p>
      <w:pPr>
        <w:pStyle w:val="NoSpacing"/>
        <w:spacing w:lineRule="auto" w:line="276"/>
        <w:jc w:val="center"/>
        <w:rPr>
          <w:rFonts w:ascii="Times New Roman" w:hAnsi="Times New Roman" w:cs="Times New Roman"/>
        </w:rPr>
      </w:pPr>
      <w:r>
        <w:rPr>
          <w:rFonts w:cs="Times New Roman" w:ascii="Times New Roman" w:hAnsi="Times New Roman"/>
        </w:rPr>
      </w:r>
    </w:p>
    <w:p>
      <w:pPr>
        <w:pStyle w:val="NoSpacing"/>
        <w:spacing w:lineRule="auto" w:line="276"/>
        <w:jc w:val="center"/>
        <w:rPr>
          <w:rFonts w:ascii="Times New Roman" w:hAnsi="Times New Roman" w:cs="Times New Roman"/>
        </w:rPr>
      </w:pPr>
      <w:r>
        <w:rPr>
          <w:rFonts w:cs="Times New Roman" w:ascii="Times New Roman" w:hAnsi="Times New Roman"/>
        </w:rPr>
      </w:r>
    </w:p>
    <w:p>
      <w:pPr>
        <w:pStyle w:val="NoSpacing"/>
        <w:spacing w:lineRule="auto" w:line="276"/>
        <w:jc w:val="both"/>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spacing w:lineRule="auto" w:line="276"/>
        <w:rPr>
          <w:rFonts w:ascii="Times New Roman" w:hAnsi="Times New Roman" w:cs="Times New Roman"/>
          <w:b/>
          <w:b/>
        </w:rPr>
      </w:pPr>
      <w:r>
        <w:rPr>
          <w:rFonts w:cs="Times New Roman" w:ascii="Times New Roman" w:hAnsi="Times New Roman"/>
          <w:b/>
        </w:rPr>
        <w:t xml:space="preserve">     </w:t>
      </w:r>
    </w:p>
    <w:p>
      <w:pPr>
        <w:pStyle w:val="NoSpacing"/>
        <w:spacing w:lineRule="auto" w:line="276"/>
        <w:rPr>
          <w:rFonts w:ascii="Times New Roman" w:hAnsi="Times New Roman" w:cs="Times New Roman"/>
          <w:b/>
          <w:b/>
        </w:rPr>
      </w:pPr>
      <w:r>
        <w:rPr>
          <w:rFonts w:cs="Times New Roman" w:ascii="Times New Roman" w:hAnsi="Times New Roman"/>
          <w:b/>
        </w:rPr>
      </w:r>
    </w:p>
    <w:p>
      <w:pPr>
        <w:pStyle w:val="NoSpacing"/>
        <w:spacing w:lineRule="auto" w:line="276"/>
        <w:rPr>
          <w:rFonts w:ascii="Times New Roman" w:hAnsi="Times New Roman" w:cs="Times New Roman"/>
          <w:b/>
          <w:b/>
        </w:rPr>
      </w:pPr>
      <w:r>
        <w:rPr>
          <w:rFonts w:cs="Times New Roman" w:ascii="Times New Roman" w:hAnsi="Times New Roman"/>
          <w:b/>
        </w:rPr>
      </w:r>
    </w:p>
    <w:p>
      <w:pPr>
        <w:pStyle w:val="NoSpacing"/>
        <w:spacing w:lineRule="auto" w:line="276"/>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ROMANIA</w:t>
      </w:r>
    </w:p>
    <w:p>
      <w:pPr>
        <w:pStyle w:val="NoSpacing"/>
        <w:spacing w:lineRule="auto" w:line="276"/>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 xml:space="preserve">JUDETUL   NEAMT </w:t>
      </w:r>
    </w:p>
    <w:p>
      <w:pPr>
        <w:pStyle w:val="NoSpacing"/>
        <w:spacing w:lineRule="auto" w:line="276"/>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 xml:space="preserve">PRIMARIA  COMUNEI  ION CREANGA </w:t>
      </w:r>
    </w:p>
    <w:p>
      <w:pPr>
        <w:pStyle w:val="NoSpacing"/>
        <w:spacing w:lineRule="auto" w:line="276"/>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Nr.</w:t>
      </w:r>
      <w:r>
        <w:rPr>
          <w:rFonts w:eastAsia="Times New Roman" w:cs="Times New Roman" w:ascii="Times New Roman" w:hAnsi="Times New Roman"/>
          <w:b/>
        </w:rPr>
        <w:t xml:space="preserve"> 3626 din 31.03.2025  </w:t>
      </w:r>
      <w:r>
        <w:rPr>
          <w:rFonts w:cs="Times New Roman" w:ascii="Times New Roman" w:hAnsi="Times New Roman"/>
          <w:b/>
        </w:rPr>
        <w:t xml:space="preserve"> </w:t>
      </w:r>
    </w:p>
    <w:p>
      <w:pPr>
        <w:pStyle w:val="NoSpacing"/>
        <w:spacing w:lineRule="auto" w:line="276"/>
        <w:rPr>
          <w:rFonts w:ascii="Times New Roman" w:hAnsi="Times New Roman" w:cs="Times New Roman"/>
          <w:b/>
          <w:b/>
        </w:rPr>
      </w:pPr>
      <w:r>
        <w:rPr>
          <w:rFonts w:cs="Times New Roman" w:ascii="Times New Roman" w:hAnsi="Times New Roman"/>
          <w:b/>
        </w:rPr>
      </w:r>
    </w:p>
    <w:p>
      <w:pPr>
        <w:pStyle w:val="NoSpacing"/>
        <w:spacing w:lineRule="auto" w:line="276"/>
        <w:rPr>
          <w:rFonts w:ascii="Times New Roman" w:hAnsi="Times New Roman" w:cs="Times New Roman"/>
          <w:b/>
          <w:b/>
        </w:rPr>
      </w:pPr>
      <w:r>
        <w:rPr>
          <w:rFonts w:cs="Times New Roman" w:ascii="Times New Roman" w:hAnsi="Times New Roman"/>
          <w:b/>
        </w:rPr>
      </w:r>
    </w:p>
    <w:p>
      <w:pPr>
        <w:pStyle w:val="NoSpacing"/>
        <w:spacing w:lineRule="auto" w:line="276"/>
        <w:rPr>
          <w:rFonts w:ascii="Times New Roman" w:hAnsi="Times New Roman" w:cs="Times New Roman"/>
          <w:b/>
          <w:b/>
        </w:rPr>
      </w:pPr>
      <w:r>
        <w:rPr>
          <w:rFonts w:cs="Times New Roman" w:ascii="Times New Roman" w:hAnsi="Times New Roman"/>
          <w:b/>
        </w:rPr>
      </w:r>
    </w:p>
    <w:p>
      <w:pPr>
        <w:pStyle w:val="NoSpacing"/>
        <w:spacing w:lineRule="auto" w:line="276"/>
        <w:jc w:val="center"/>
        <w:rPr>
          <w:rFonts w:ascii="Times New Roman" w:hAnsi="Times New Roman" w:cs="Times New Roman"/>
          <w:b/>
          <w:b/>
        </w:rPr>
      </w:pPr>
      <w:r>
        <w:rPr>
          <w:rFonts w:cs="Times New Roman" w:ascii="Times New Roman" w:hAnsi="Times New Roman"/>
          <w:b/>
        </w:rPr>
        <w:t>REFERAT   DE  APROBARE</w:t>
      </w:r>
    </w:p>
    <w:p>
      <w:pPr>
        <w:pStyle w:val="NoSpacing"/>
        <w:spacing w:lineRule="auto" w:line="276"/>
        <w:jc w:val="center"/>
        <w:rPr>
          <w:rFonts w:ascii="Times New Roman" w:hAnsi="Times New Roman" w:cs="Times New Roman"/>
        </w:rPr>
      </w:pPr>
      <w:r>
        <w:rPr>
          <w:rFonts w:cs="Times New Roman" w:ascii="Times New Roman" w:hAnsi="Times New Roman"/>
          <w:b/>
        </w:rPr>
        <w:t>Al Proiectului de  hotărâre privind aprobarea închirierii prin licitatie publica a unor suprafete de păşune comunala , proprietatea Comunei Ion Creanga și a documentatiilor necesare în vederea atribuirii contractelor de închiriere</w:t>
      </w:r>
      <w:r>
        <w:rPr>
          <w:rFonts w:cs="Times New Roman" w:ascii="Times New Roman" w:hAnsi="Times New Roman"/>
        </w:rPr>
        <w:t>.</w:t>
      </w:r>
    </w:p>
    <w:p>
      <w:pPr>
        <w:pStyle w:val="NoSpacing"/>
        <w:spacing w:lineRule="auto" w:line="276"/>
        <w:rPr>
          <w:rFonts w:ascii="Times New Roman" w:hAnsi="Times New Roman" w:cs="Times New Roman"/>
        </w:rPr>
      </w:pPr>
      <w:r>
        <w:rPr>
          <w:rFonts w:cs="Times New Roman" w:ascii="Times New Roman" w:hAnsi="Times New Roman"/>
        </w:rPr>
      </w:r>
    </w:p>
    <w:p>
      <w:pPr>
        <w:pStyle w:val="NoSpacing"/>
        <w:spacing w:lineRule="auto" w:line="276"/>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rPr>
        <w:t>Potrivit prevederilor art.333 din O.U.G. nr.57/2019 privind Codul administrative , cu  modificarile  si  completarile  ulterioare “</w:t>
      </w:r>
      <w:r>
        <w:rPr>
          <w:rFonts w:cs="Times New Roman" w:ascii="Times New Roman" w:hAnsi="Times New Roman"/>
          <w:i/>
        </w:rPr>
        <w:t>Închirierea bunurilor proprietate publică a statului sau a unităţilor respective</w:t>
        <w:t>ive – teritoriale se aprobă, după caz, prin hotărâre a Guvernului, a consiliului judeţean, a Consiliului General al Municipiului Bucureşti sau a consiliului local”</w:t>
      </w:r>
    </w:p>
    <w:p>
      <w:pPr>
        <w:pStyle w:val="NoSpacing"/>
        <w:spacing w:lineRule="auto" w:line="276"/>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Precum  si  ale  art. 362 prin  care :</w:t>
      </w:r>
    </w:p>
    <w:p>
      <w:pPr>
        <w:pStyle w:val="Normal"/>
        <w:spacing w:before="0" w:after="0"/>
        <w:rPr>
          <w:rFonts w:ascii="Times New Roman" w:hAnsi="Times New Roman" w:eastAsia="Times New Roman" w:cs="Times New Roman"/>
          <w:i/>
          <w:i/>
          <w:lang w:val="en-US"/>
        </w:rPr>
      </w:pPr>
      <w:r>
        <w:rPr>
          <w:rFonts w:eastAsia="Times New Roman" w:cs="Times New Roman" w:ascii="Times New Roman" w:hAnsi="Times New Roman"/>
          <w:lang w:val="en-US"/>
        </w:rPr>
        <w:t xml:space="preserve">,, </w:t>
      </w:r>
      <w:r>
        <w:rPr>
          <w:rFonts w:eastAsia="Times New Roman" w:cs="Times New Roman" w:ascii="Times New Roman" w:hAnsi="Times New Roman"/>
          <w:i/>
          <w:lang w:val="en-US"/>
        </w:rPr>
        <w:t>1) Bunurile proprietate privată a statului sau a unităţilor administrativ - teritoriale pot fi date în administrare, concesionate ori închiriate.</w:t>
      </w:r>
    </w:p>
    <w:p>
      <w:pPr>
        <w:pStyle w:val="Normal"/>
        <w:spacing w:before="0" w:after="0"/>
        <w:rPr>
          <w:rFonts w:ascii="Times New Roman" w:hAnsi="Times New Roman" w:eastAsia="Times New Roman" w:cs="Times New Roman"/>
          <w:i/>
          <w:i/>
          <w:vanish/>
          <w:lang w:val="en-US"/>
        </w:rPr>
      </w:pPr>
      <w:r>
        <w:rPr>
          <w:rFonts w:eastAsia="Times New Roman" w:cs="Times New Roman" w:ascii="Times New Roman" w:hAnsi="Times New Roman"/>
          <w:i/>
          <w:strike/>
          <w:vanish/>
          <w:color w:val="FF0000"/>
          <w:lang w:val="en-US"/>
        </w:rPr>
        <w:t>|[</w:t>
      </w:r>
      <w:r>
        <w:rPr>
          <w:rFonts w:eastAsia="Times New Roman" w:cs="Times New Roman" w:ascii="Times New Roman" w:hAnsi="Times New Roman"/>
          <w:i/>
          <w:strike/>
          <w:vanish/>
          <w:color w:val="CC0099"/>
          <w:lang w:val="en-US"/>
        </w:rPr>
        <w:t>(2)</w:t>
      </w:r>
      <w:r>
        <w:rPr>
          <w:rFonts w:eastAsia="Times New Roman" w:cs="Times New Roman" w:ascii="Times New Roman" w:hAnsi="Times New Roman"/>
          <w:i/>
          <w:strike/>
          <w:vanish/>
          <w:color w:val="FF0000"/>
          <w:lang w:val="en-US"/>
        </w:rPr>
        <w:t xml:space="preserve"> Bunurile proprietate privată a unităţilor administrativ - teritoriale pot fi date în folosinţă gratuită, pe termen limitat, după caz, persoanelor juridice fără scop lucrativ, care desfăşoară activitate de binefacere sau de utilitate publică, ori serviciilor publice. </w:t>
      </w:r>
      <w:r>
        <w:rPr>
          <w:rFonts w:eastAsia="Times New Roman" w:cs="Times New Roman" w:ascii="Times New Roman" w:hAnsi="Times New Roman"/>
          <w:i/>
          <w:iCs/>
          <w:strike/>
          <w:vanish/>
          <w:color w:val="FF0000"/>
          <w:lang w:val="en-US"/>
        </w:rPr>
        <w:t>(text original în vigoare până la 3 mai 2024)</w:t>
      </w:r>
      <w:r>
        <w:rPr>
          <w:rFonts w:eastAsia="Times New Roman" w:cs="Times New Roman" w:ascii="Times New Roman" w:hAnsi="Times New Roman"/>
          <w:i/>
          <w:strike/>
          <w:vanish/>
          <w:color w:val="FF0000"/>
          <w:lang w:val="en-US"/>
        </w:rPr>
        <w:t xml:space="preserve"> ]| </w:t>
      </w:r>
    </w:p>
    <w:p>
      <w:pPr>
        <w:pStyle w:val="Normal"/>
        <w:spacing w:before="0" w:after="0"/>
        <w:rPr>
          <w:rFonts w:ascii="Times New Roman" w:hAnsi="Times New Roman" w:eastAsia="Times New Roman" w:cs="Times New Roman"/>
          <w:i/>
          <w:i/>
          <w:color w:val="003399"/>
          <w:lang w:val="en-US"/>
        </w:rPr>
      </w:pPr>
      <w:r>
        <w:rPr>
          <w:rFonts w:eastAsia="Times New Roman" w:cs="Times New Roman" w:ascii="Times New Roman" w:hAnsi="Times New Roman"/>
          <w:i/>
          <w:lang w:val="en-US"/>
        </w:rPr>
        <w:t xml:space="preserve"> </w:t>
      </w:r>
      <w:r>
        <w:rPr>
          <w:rFonts w:eastAsia="Times New Roman" w:cs="Times New Roman" w:ascii="Times New Roman" w:hAnsi="Times New Roman"/>
          <w:i/>
          <w:color w:val="CC0099"/>
          <w:lang w:val="en-US"/>
        </w:rPr>
        <w:t>(2)</w:t>
      </w:r>
      <w:r>
        <w:rPr>
          <w:rFonts w:eastAsia="Times New Roman" w:cs="Times New Roman" w:ascii="Times New Roman" w:hAnsi="Times New Roman"/>
          <w:i/>
          <w:color w:val="003399"/>
          <w:lang w:val="en-US"/>
        </w:rPr>
        <w:t xml:space="preserve"> …………………….</w:t>
      </w:r>
    </w:p>
    <w:p>
      <w:pPr>
        <w:pStyle w:val="Normal"/>
        <w:spacing w:before="0" w:after="0"/>
        <w:rPr>
          <w:rFonts w:ascii="Times New Roman" w:hAnsi="Times New Roman" w:eastAsia="Times New Roman" w:cs="Times New Roman"/>
          <w:i/>
          <w:i/>
          <w:lang w:val="en-US"/>
        </w:rPr>
      </w:pPr>
      <w:r>
        <w:rPr>
          <w:rFonts w:eastAsia="Times New Roman" w:cs="Times New Roman" w:ascii="Times New Roman" w:hAnsi="Times New Roman"/>
          <w:i/>
          <w:color w:val="CC0099"/>
          <w:lang w:val="en-US"/>
        </w:rPr>
        <w:t>(3)</w:t>
      </w:r>
      <w:r>
        <w:rPr>
          <w:rFonts w:eastAsia="Times New Roman" w:cs="Times New Roman" w:ascii="Times New Roman" w:hAnsi="Times New Roman"/>
          <w:i/>
          <w:lang w:val="en-US"/>
        </w:rPr>
        <w:t xml:space="preserve"> Dispoziţiile privind darea în administrare, concesionarea, închirierea şi darea în folosinţă gratuită a bunurilor aparţinând domeniului public al statului sau al unităţilor administrativ - teritoriale se aplică în mod corespunzător “ </w:t>
      </w:r>
    </w:p>
    <w:p>
      <w:pPr>
        <w:pStyle w:val="Normal"/>
        <w:spacing w:before="0" w:after="0"/>
        <w:rPr>
          <w:rFonts w:ascii="Times New Roman" w:hAnsi="Times New Roman" w:eastAsia="Times New Roman" w:cs="Times New Roman"/>
          <w:i/>
          <w:i/>
          <w:lang w:val="en-US"/>
        </w:rPr>
      </w:pPr>
      <w:r>
        <w:rPr>
          <w:rFonts w:eastAsia="Times New Roman" w:cs="Times New Roman" w:ascii="Times New Roman" w:hAnsi="Times New Roman"/>
          <w:i/>
          <w:lang w:val="en-US"/>
        </w:rPr>
      </w:r>
    </w:p>
    <w:p>
      <w:pPr>
        <w:pStyle w:val="Normal"/>
        <w:spacing w:before="0" w:after="0"/>
        <w:ind w:left="57" w:right="21" w:hanging="0"/>
        <w:jc w:val="both"/>
        <w:rPr>
          <w:rFonts w:ascii="Times New Roman" w:hAnsi="Times New Roman" w:eastAsia="Times New Roman" w:cs="Times New Roman"/>
          <w:color w:val="000000"/>
          <w:lang w:val="en-US"/>
        </w:rPr>
      </w:pPr>
      <w:r>
        <w:rPr>
          <w:rFonts w:cs="Times New Roman" w:ascii="Times New Roman" w:hAnsi="Times New Roman"/>
          <w:i/>
        </w:rPr>
        <w:t xml:space="preserve">    </w:t>
      </w:r>
      <w:r>
        <w:rPr>
          <w:rFonts w:eastAsia="Times New Roman" w:cs="Times New Roman" w:ascii="Times New Roman" w:hAnsi="Times New Roman"/>
          <w:color w:val="000000"/>
          <w:lang w:val="en-US"/>
        </w:rPr>
        <w:t xml:space="preserve">Conform prevederilor art. 9 alin.(1) si (2)   din  OUG nr. 34 din 23 aprilie 2013 privind organizarea, administrarea exploatarea pajistilor permanente </w:t>
      </w:r>
      <w:r>
        <w:rPr>
          <w:rFonts w:eastAsia="Microsoft JhengHei" w:cs="Times New Roman" w:ascii="Times New Roman" w:hAnsi="Times New Roman"/>
          <w:color w:val="000000"/>
          <w:lang w:val="en-US"/>
        </w:rPr>
        <w:t xml:space="preserve">si </w:t>
      </w:r>
      <w:r>
        <w:rPr>
          <w:rFonts w:eastAsia="Times New Roman" w:cs="Times New Roman" w:ascii="Times New Roman" w:hAnsi="Times New Roman"/>
          <w:color w:val="000000"/>
          <w:lang w:val="en-US"/>
        </w:rPr>
        <w:t xml:space="preserve">pentru modificarea completarea Legii fondului funciar nr. </w:t>
      </w:r>
      <w:r>
        <w:rPr>
          <w:rFonts w:eastAsia="Times New Roman" w:cs="Times New Roman" w:ascii="Times New Roman" w:hAnsi="Times New Roman"/>
          <w:color w:val="000000"/>
          <w:u w:val="single" w:color="000000"/>
          <w:lang w:val="en-US"/>
        </w:rPr>
        <w:t>18/1991</w:t>
      </w:r>
      <w:r>
        <w:rPr>
          <w:rFonts w:eastAsia="Times New Roman" w:cs="Times New Roman" w:ascii="Times New Roman" w:hAnsi="Times New Roman"/>
          <w:color w:val="000000"/>
          <w:lang w:val="en-US"/>
        </w:rPr>
        <w:t xml:space="preserve">: </w:t>
      </w:r>
    </w:p>
    <w:p>
      <w:pPr>
        <w:pStyle w:val="Normal"/>
        <w:spacing w:before="0" w:after="0"/>
        <w:rPr>
          <w:rFonts w:ascii="Times New Roman" w:hAnsi="Times New Roman" w:eastAsia="Times New Roman" w:cs="Times New Roman"/>
          <w:i/>
          <w:i/>
          <w:lang w:val="en-US"/>
        </w:rPr>
      </w:pPr>
      <w:r>
        <w:rPr>
          <w:rFonts w:eastAsia="Times New Roman" w:cs="Times New Roman" w:ascii="Times New Roman" w:hAnsi="Times New Roman"/>
          <w:i/>
          <w:lang w:val="en-US"/>
        </w:rPr>
        <w:t xml:space="preserve">,, (1) Pentru punerea în valoare a pajiştilor aflate în </w:t>
      </w:r>
      <w:r>
        <w:rPr>
          <w:rFonts w:eastAsia="Times New Roman" w:cs="Times New Roman" w:ascii="Times New Roman" w:hAnsi="Times New Roman"/>
          <w:b/>
          <w:i/>
          <w:lang w:val="en-US"/>
        </w:rPr>
        <w:t>domeniul public</w:t>
      </w:r>
      <w:r>
        <w:rPr>
          <w:rFonts w:eastAsia="Times New Roman" w:cs="Times New Roman" w:ascii="Times New Roman" w:hAnsi="Times New Roman"/>
          <w:i/>
          <w:lang w:val="en-US"/>
        </w:rPr>
        <w:t xml:space="preserve">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şi/sau în SIIE, încheie contracte de concesiune/închiriere, în condiţiile legii, pentru suprafeţele de pajişti disponibile, proporţional cu efectivele de animale deţinute în exploataţie, pe o perioadă cuprinsă între 7 şi 10 ani. </w:t>
      </w:r>
    </w:p>
    <w:p>
      <w:pPr>
        <w:pStyle w:val="Normal"/>
        <w:spacing w:before="0" w:after="0"/>
        <w:rPr/>
      </w:pPr>
      <w:r>
        <w:rPr>
          <w:rFonts w:eastAsia="Times New Roman" w:cs="Times New Roman" w:ascii="Times New Roman" w:hAnsi="Times New Roman"/>
          <w:i/>
          <w:strike/>
          <w:vanish/>
          <w:lang w:val="en-US"/>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de maximum 5 ani. </w:t>
      </w:r>
      <w:r>
        <w:rPr>
          <w:rFonts w:eastAsia="Times New Roman" w:cs="Times New Roman" w:ascii="Times New Roman" w:hAnsi="Times New Roman"/>
          <w:i/>
          <w:iCs/>
          <w:strike/>
          <w:vanish/>
          <w:lang w:val="en-US"/>
        </w:rPr>
        <w:t xml:space="preserve">(text original în vigoare până 5 iulie 2014) </w:t>
      </w:r>
      <w:r>
        <w:rPr>
          <w:rFonts w:eastAsia="Times New Roman" w:cs="Times New Roman" w:ascii="Times New Roman" w:hAnsi="Times New Roman"/>
          <w:i/>
          <w:strike/>
          <w:vanish/>
          <w:lang w:val="en-US"/>
        </w:rPr>
        <w:t xml:space="preserve">]| </w:t>
      </w:r>
      <w:r>
        <w:rPr>
          <w:rFonts w:eastAsia="Times New Roman" w:cs="Times New Roman" w:ascii="Times New Roman" w:hAnsi="Times New Roman"/>
          <w:i/>
          <w:vanish/>
          <w:lang w:val="en-US"/>
        </w:rPr>
        <w:br/>
      </w:r>
      <w:r>
        <w:rPr>
          <w:rFonts w:eastAsia="Times New Roman" w:cs="Times New Roman" w:ascii="Times New Roman" w:hAnsi="Times New Roman"/>
          <w:i/>
          <w:strike/>
          <w:vanish/>
          <w:lang w:val="en-US"/>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cuprinsă între 7 şi 10 ani. </w:t>
      </w:r>
      <w:r>
        <w:rPr>
          <w:rFonts w:eastAsia="Times New Roman" w:cs="Times New Roman" w:ascii="Times New Roman" w:hAnsi="Times New Roman"/>
          <w:i/>
          <w:iCs/>
          <w:strike/>
          <w:vanish/>
          <w:lang w:val="en-US"/>
        </w:rPr>
        <w:t xml:space="preserve">(alineat modificat prin art. I pct. 9 din </w:t>
      </w:r>
      <w:hyperlink r:id="rId2">
        <w:r>
          <w:rPr>
            <w:rStyle w:val="ListLabel19"/>
            <w:rFonts w:eastAsia="Times New Roman" w:cs="Times New Roman" w:ascii="Times New Roman" w:hAnsi="Times New Roman"/>
            <w:i/>
            <w:iCs/>
            <w:strike/>
            <w:vanish/>
            <w:u w:val="single"/>
            <w:lang w:val="en-US"/>
          </w:rPr>
          <w:t>Legea nr. 86/2014</w:t>
        </w:r>
      </w:hyperlink>
      <w:r>
        <w:rPr>
          <w:rFonts w:eastAsia="Times New Roman" w:cs="Times New Roman" w:ascii="Times New Roman" w:hAnsi="Times New Roman"/>
          <w:i/>
          <w:iCs/>
          <w:strike/>
          <w:vanish/>
          <w:lang w:val="en-US"/>
        </w:rPr>
        <w:t xml:space="preserve">, în vigoare de la 5 iulie 2014 până la 26 ianuarie 2018) </w:t>
      </w:r>
      <w:r>
        <w:rPr>
          <w:rFonts w:eastAsia="Times New Roman" w:cs="Times New Roman" w:ascii="Times New Roman" w:hAnsi="Times New Roman"/>
          <w:i/>
          <w:strike/>
          <w:vanish/>
          <w:lang w:val="en-US"/>
        </w:rPr>
        <w:t xml:space="preserve">]| </w:t>
      </w:r>
      <w:r>
        <w:rPr>
          <w:rFonts w:eastAsia="Times New Roman" w:cs="Times New Roman" w:ascii="Times New Roman" w:hAnsi="Times New Roman"/>
          <w:i/>
          <w:vanish/>
          <w:lang w:val="en-US"/>
        </w:rPr>
        <w:br/>
      </w:r>
      <w:r>
        <w:rPr>
          <w:rFonts w:eastAsia="Times New Roman" w:cs="Times New Roman" w:ascii="Times New Roman" w:hAnsi="Times New Roman"/>
          <w:i/>
          <w:strike/>
          <w:vanish/>
          <w:lang w:val="en-US"/>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Registrul naţional al exploataţiilor, membri ai colectivităţii locale sau care au sediul social pe teritoriul localităţii respective, încheie contracte de închiriere prin atribuire directă, în condiţiile prevederilor </w:t>
      </w:r>
      <w:hyperlink r:id="rId3">
        <w:r>
          <w:rPr>
            <w:rStyle w:val="ListLabel20"/>
            <w:rFonts w:eastAsia="Times New Roman" w:cs="Times New Roman" w:ascii="Times New Roman" w:hAnsi="Times New Roman"/>
            <w:i/>
            <w:strike/>
            <w:vanish/>
            <w:u w:val="single"/>
            <w:lang w:val="en-US"/>
          </w:rPr>
          <w:t>Legii nr. 287/2009</w:t>
        </w:r>
      </w:hyperlink>
      <w:r>
        <w:rPr>
          <w:rFonts w:eastAsia="Times New Roman" w:cs="Times New Roman" w:ascii="Times New Roman" w:hAnsi="Times New Roman"/>
          <w:i/>
          <w:strike/>
          <w:vanish/>
          <w:lang w:val="en-US"/>
        </w:rPr>
        <w:t xml:space="preserve"> privind Codul civil,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Registrul naţional al exploataţiilor. </w:t>
      </w:r>
      <w:r>
        <w:rPr>
          <w:rFonts w:eastAsia="Times New Roman" w:cs="Times New Roman" w:ascii="Times New Roman" w:hAnsi="Times New Roman"/>
          <w:i/>
          <w:iCs/>
          <w:strike/>
          <w:vanish/>
          <w:lang w:val="en-US"/>
        </w:rPr>
        <w:t>(alineat modificat prin art. I pct. 8 din</w:t>
      </w:r>
      <w:r>
        <w:rPr>
          <w:rFonts w:eastAsia="Times New Roman" w:cs="Times New Roman" w:ascii="Times New Roman" w:hAnsi="Times New Roman"/>
          <w:i/>
          <w:strike/>
          <w:vanish/>
          <w:lang w:val="en-US"/>
        </w:rPr>
        <w:t xml:space="preserve"> </w:t>
      </w:r>
      <w:hyperlink r:id="rId4">
        <w:r>
          <w:rPr>
            <w:rStyle w:val="ListLabel19"/>
            <w:rFonts w:eastAsia="Times New Roman" w:cs="Times New Roman" w:ascii="Times New Roman" w:hAnsi="Times New Roman"/>
            <w:i/>
            <w:iCs/>
            <w:strike/>
            <w:vanish/>
            <w:u w:val="single"/>
            <w:lang w:val="en-US"/>
          </w:rPr>
          <w:t>Legea nr. 44/2018</w:t>
        </w:r>
      </w:hyperlink>
      <w:r>
        <w:rPr>
          <w:rFonts w:eastAsia="Times New Roman" w:cs="Times New Roman" w:ascii="Times New Roman" w:hAnsi="Times New Roman"/>
          <w:i/>
          <w:iCs/>
          <w:strike/>
          <w:vanish/>
          <w:lang w:val="en-US"/>
        </w:rPr>
        <w:t>, în vigoare de la 26 ianuarie 2018 până la 29 iulie 2022)</w:t>
      </w:r>
      <w:r>
        <w:rPr>
          <w:rFonts w:eastAsia="Times New Roman" w:cs="Times New Roman" w:ascii="Times New Roman" w:hAnsi="Times New Roman"/>
          <w:i/>
          <w:strike/>
          <w:vanish/>
          <w:lang w:val="en-US"/>
        </w:rPr>
        <w:t xml:space="preserve"> ]| </w:t>
      </w:r>
    </w:p>
    <w:p>
      <w:pPr>
        <w:pStyle w:val="Normal"/>
        <w:spacing w:before="0" w:after="0"/>
        <w:ind w:left="57" w:right="21" w:hanging="0"/>
        <w:jc w:val="both"/>
        <w:rPr/>
      </w:pPr>
      <w:r>
        <w:rPr>
          <w:rFonts w:eastAsia="Times New Roman" w:cs="Times New Roman" w:ascii="Times New Roman" w:hAnsi="Times New Roman"/>
          <w:i/>
          <w:lang w:val="en-US"/>
        </w:rPr>
        <w:t xml:space="preserve">2) Pentru punerea în valoare a pajiştilor aflate în </w:t>
      </w:r>
      <w:r>
        <w:rPr>
          <w:rFonts w:eastAsia="Times New Roman" w:cs="Times New Roman" w:ascii="Times New Roman" w:hAnsi="Times New Roman"/>
          <w:b/>
          <w:i/>
          <w:lang w:val="en-US"/>
        </w:rPr>
        <w:t>domeniul privat</w:t>
      </w:r>
      <w:r>
        <w:rPr>
          <w:rFonts w:eastAsia="Times New Roman" w:cs="Times New Roman" w:ascii="Times New Roman" w:hAnsi="Times New Roman"/>
          <w:i/>
          <w:lang w:val="en-US"/>
        </w:rPr>
        <w:t xml:space="preserve">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şi/sau în SIIE, membri ai colectivităţii locale sau care au sediul social pe teritoriul localităţii respective, încheie contracte de închiriere prin atribuire directă, în condiţiile prevederilor </w:t>
      </w:r>
      <w:hyperlink r:id="rId5">
        <w:r>
          <w:rPr>
            <w:rStyle w:val="ListLabel21"/>
            <w:rFonts w:eastAsia="Times New Roman" w:cs="Times New Roman" w:ascii="Times New Roman" w:hAnsi="Times New Roman"/>
            <w:i/>
            <w:u w:val="single"/>
            <w:lang w:val="en-US"/>
          </w:rPr>
          <w:t>Legii nr. 287/2009</w:t>
        </w:r>
      </w:hyperlink>
      <w:r>
        <w:rPr>
          <w:rFonts w:eastAsia="Times New Roman" w:cs="Times New Roman" w:ascii="Times New Roman" w:hAnsi="Times New Roman"/>
          <w:i/>
          <w:lang w:val="en-US"/>
        </w:rPr>
        <w:t>,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RNE şi/sau în SIIE.</w:t>
      </w:r>
      <w:r>
        <w:rPr>
          <w:rFonts w:eastAsia="Times New Roman" w:cs="Times New Roman" w:ascii="Times New Roman" w:hAnsi="Times New Roman"/>
          <w:lang w:val="en-US"/>
        </w:rPr>
        <w:t>.</w:t>
      </w:r>
      <w:r>
        <w:rPr>
          <w:rFonts w:eastAsia="Microsoft JhengHei" w:cs="Times New Roman" w:ascii="Times New Roman" w:hAnsi="Times New Roman"/>
          <w:lang w:val="en-US"/>
        </w:rPr>
        <w:t>"</w:t>
      </w:r>
    </w:p>
    <w:p>
      <w:pPr>
        <w:pStyle w:val="NoSpacing"/>
        <w:spacing w:lineRule="auto" w:line="276"/>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Procedura  de  inchiriere  bunuri  proprietate  publica  si  private ale  UAT – Comuna  Ion Creanga se  va realiza in conformitate cu prevederile art. 9 alin. (1) si (2)  din OUG nr. 34/2013 privind organizarea, administrarea si exploatarea pajistilor permanente si pentru modificarea si completarea Legii fondului funciar nr. 18/1991, cu  modificarile  si  completarile  ulterioare  prin  licitatie  publica , motivate  de  regimul  concurential al  crescatorilor  de  animale </w:t>
      </w:r>
    </w:p>
    <w:p>
      <w:pPr>
        <w:pStyle w:val="Normal"/>
        <w:spacing w:before="0" w:after="0"/>
        <w:rPr>
          <w:rFonts w:ascii="Times New Roman" w:hAnsi="Times New Roman" w:eastAsia="Times New Roman" w:cs="Times New Roman"/>
          <w:lang w:val="en-US"/>
        </w:rPr>
      </w:pPr>
      <w:r>
        <w:rPr>
          <w:rFonts w:eastAsia="Times New Roman" w:cs="Times New Roman" w:ascii="Times New Roman" w:hAnsi="Times New Roman"/>
          <w:lang w:val="en-US"/>
        </w:rPr>
        <w:t xml:space="preserve">  </w:t>
      </w:r>
      <w:r>
        <w:rPr>
          <w:rFonts w:eastAsia="Times New Roman" w:cs="Times New Roman" w:ascii="Times New Roman" w:hAnsi="Times New Roman"/>
          <w:lang w:val="en-US"/>
        </w:rPr>
        <w:t xml:space="preserve">Tinând  cont de incetarea  unor  contracte  de  inchiriere  pășune  comunală, prin  ajungere  la  termen :  </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Contractului de  inchiriere nr. 5041 din 17.06.2015 ,</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Contractului de  inchiriere nr. 5032 din 17.06.2015 ,</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Contractului de  inchiriere nr. 5034 din 17.06.2015 ,</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Contractului de  inchiriere nr. 5040 din 17.06.2015 ,</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Contractului de  inchiriere nr. 5039 din 17.06.2015 ,</w:t>
      </w:r>
    </w:p>
    <w:p>
      <w:pPr>
        <w:pStyle w:val="ListParagraph"/>
        <w:numPr>
          <w:ilvl w:val="0"/>
          <w:numId w:val="1"/>
        </w:numPr>
        <w:spacing w:before="0" w:after="0"/>
        <w:contextualSpacing/>
        <w:rPr>
          <w:rFonts w:ascii="Times New Roman" w:hAnsi="Times New Roman" w:cs="Times New Roman"/>
        </w:rPr>
      </w:pPr>
      <w:r>
        <w:rPr>
          <w:rFonts w:cs="Times New Roman" w:ascii="Times New Roman" w:hAnsi="Times New Roman"/>
        </w:rPr>
        <w:t>Contractului de  inchiriere nr. 5037 din 17.06.2015 ,</w:t>
      </w:r>
    </w:p>
    <w:p>
      <w:pPr>
        <w:pStyle w:val="Normal"/>
        <w:spacing w:before="0" w:after="0"/>
        <w:rPr>
          <w:rFonts w:ascii="Times New Roman" w:hAnsi="Times New Roman" w:eastAsia="Times New Roman" w:cs="Times New Roman"/>
          <w:lang w:val="en-US"/>
        </w:rPr>
      </w:pPr>
      <w:r>
        <w:rPr>
          <w:rFonts w:eastAsia="Times New Roman" w:cs="Times New Roman" w:ascii="Times New Roman" w:hAnsi="Times New Roman"/>
          <w:lang w:val="en-US"/>
        </w:rPr>
        <w:t>Si de :</w:t>
      </w:r>
    </w:p>
    <w:p>
      <w:pPr>
        <w:pStyle w:val="NoSpacing"/>
        <w:numPr>
          <w:ilvl w:val="0"/>
          <w:numId w:val="1"/>
        </w:numPr>
        <w:spacing w:lineRule="auto" w:line="276"/>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importanţa cresterii animalelor şi de facilitarea accesului acestora la suprafeţele</w:t>
      </w:r>
    </w:p>
    <w:p>
      <w:pPr>
        <w:pStyle w:val="NoSpacing"/>
        <w:spacing w:lineRule="auto" w:line="276"/>
        <w:rPr>
          <w:rFonts w:ascii="Times New Roman" w:hAnsi="Times New Roman" w:cs="Times New Roman"/>
        </w:rPr>
      </w:pPr>
      <w:r>
        <w:rPr>
          <w:rFonts w:cs="Times New Roman" w:ascii="Times New Roman" w:hAnsi="Times New Roman"/>
        </w:rPr>
        <w:t>de pasuni, aflate in domeniul public sau privat al unităţilor administrative teritoriale, in condiţiile in care pentru majoritatea crescătorilor de animale singura sursă de asigurare a hranei pe perioada verii este masa verde de pe pasuni;</w:t>
      </w:r>
    </w:p>
    <w:p>
      <w:pPr>
        <w:pStyle w:val="NoSpacing"/>
        <w:numPr>
          <w:ilvl w:val="0"/>
          <w:numId w:val="1"/>
        </w:numPr>
        <w:spacing w:lineRule="auto" w:line="276"/>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închirierea acestor suprafeţe de teren conduce la imbunătăţirea eficienţei economice a exploatării animalelor si confera o mai bună valorificare a bunurilor aparţinand patrimoniului comunei  Ion Creanga ,</w:t>
      </w:r>
    </w:p>
    <w:p>
      <w:pPr>
        <w:pStyle w:val="Normal"/>
        <w:spacing w:before="0" w:after="0"/>
        <w:ind w:left="30" w:hanging="0"/>
        <w:rPr>
          <w:rFonts w:ascii="Times New Roman" w:hAnsi="Times New Roman" w:cs="Times New Roman"/>
        </w:rPr>
      </w:pPr>
      <w:r>
        <w:rPr>
          <w:rFonts w:eastAsia="Microsoft JhengHei" w:cs="Times New Roman" w:ascii="Times New Roman" w:hAnsi="Times New Roman"/>
          <w:color w:val="000000"/>
        </w:rPr>
        <w:t xml:space="preserve">    </w:t>
      </w:r>
      <w:r>
        <w:rPr>
          <w:rFonts w:eastAsia="Microsoft JhengHei" w:cs="Times New Roman" w:ascii="Times New Roman" w:hAnsi="Times New Roman"/>
          <w:color w:val="000000"/>
        </w:rPr>
        <w:t xml:space="preserve">Compartimentul de  specialitate  din  cadrul primaria  comunei  Ion Creanga </w:t>
      </w:r>
      <w:r>
        <w:rPr>
          <w:rFonts w:eastAsia="Times New Roman" w:cs="Times New Roman" w:ascii="Times New Roman" w:hAnsi="Times New Roman"/>
          <w:color w:val="000000"/>
        </w:rPr>
        <w:t>a comandat întocmirea rapoartelor de evaluare unui evaluator autorizat care propune preturile de pornire la licitatie calculate în lei .</w:t>
      </w:r>
      <w:r>
        <w:rPr>
          <w:rFonts w:cs="Times New Roman" w:ascii="Times New Roman" w:hAnsi="Times New Roman"/>
        </w:rPr>
        <w:t xml:space="preserve"> Nivelul minim al chiriei este cel rezultat in urma evaluarii pasunilor, respective de: </w:t>
      </w:r>
    </w:p>
    <w:p>
      <w:pPr>
        <w:pStyle w:val="ListParagraph"/>
        <w:numPr>
          <w:ilvl w:val="0"/>
          <w:numId w:val="1"/>
        </w:numPr>
        <w:spacing w:before="0" w:after="0"/>
        <w:ind w:left="390" w:right="21" w:hanging="360"/>
        <w:contextualSpacing/>
        <w:rPr>
          <w:rFonts w:ascii="Times New Roman" w:hAnsi="Times New Roman" w:cs="Times New Roman"/>
        </w:rPr>
      </w:pPr>
      <w:r>
        <w:rPr>
          <w:rFonts w:cs="Times New Roman" w:ascii="Times New Roman" w:hAnsi="Times New Roman"/>
        </w:rPr>
        <w:t xml:space="preserve">446 lei/ ha / an:  parcela  Tiganca , lot 1, lot 2, lot 3, lot.3 , 446 lei / ha / an si lot. 3  parcela  David , </w:t>
      </w:r>
    </w:p>
    <w:p>
      <w:pPr>
        <w:pStyle w:val="ListParagraph"/>
        <w:numPr>
          <w:ilvl w:val="0"/>
          <w:numId w:val="1"/>
        </w:numPr>
        <w:spacing w:before="0" w:after="0"/>
        <w:ind w:left="390" w:right="21" w:hanging="36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535 lei/ ha / an , lot1, lot 2 , parcela   David .</w:t>
      </w:r>
    </w:p>
    <w:p>
      <w:pPr>
        <w:pStyle w:val="NoSpacing"/>
        <w:spacing w:lineRule="auto" w:line="276"/>
        <w:rPr/>
      </w:pPr>
      <w:r>
        <w:rPr>
          <w:rFonts w:cs="Times New Roman" w:ascii="Times New Roman" w:hAnsi="Times New Roman"/>
        </w:rPr>
        <w:t>Cu   Durata  inchirierii  este de 10 ani, conform art.9 alin.(1)si (2)  din OUG nr.34/2013</w:t>
      </w:r>
      <w:r>
        <w:rPr>
          <w:rFonts w:eastAsia="Times New Roman" w:cs="Times New Roman" w:ascii="Times New Roman" w:hAnsi="Times New Roman"/>
          <w:strike/>
          <w:vanish/>
          <w:color w:val="FF0000"/>
        </w:rPr>
        <w:t>|[</w:t>
      </w:r>
      <w:r>
        <w:rPr>
          <w:rFonts w:eastAsia="Times New Roman" w:cs="Times New Roman" w:ascii="Times New Roman" w:hAnsi="Times New Roman"/>
          <w:strike/>
          <w:vanish/>
          <w:color w:val="CC0099"/>
        </w:rPr>
        <w:t>(2</w:t>
      </w:r>
      <w:r>
        <w:rPr>
          <w:rFonts w:eastAsia="Times New Roman" w:cs="Times New Roman" w:ascii="Times New Roman" w:hAnsi="Times New Roman"/>
          <w:strike/>
          <w:vanish/>
          <w:color w:val="CC0099"/>
          <w:vertAlign w:val="superscript"/>
        </w:rPr>
        <w:t>1</w:t>
      </w:r>
      <w:r>
        <w:rPr>
          <w:rFonts w:eastAsia="Times New Roman" w:cs="Times New Roman" w:ascii="Times New Roman" w:hAnsi="Times New Roman"/>
          <w:strike/>
          <w:vanish/>
          <w:color w:val="CC0099"/>
        </w:rPr>
        <w:t>)</w:t>
      </w:r>
      <w:r>
        <w:rPr>
          <w:rFonts w:eastAsia="Times New Roman" w:cs="Times New Roman" w:ascii="Times New Roman" w:hAnsi="Times New Roman"/>
          <w:strike/>
          <w:vanish/>
          <w:color w:val="FF0000"/>
        </w:rPr>
        <w:t xml:space="preserve"> Asociaţiile crescătorilor locali, persoanele juridice cu sediul social pe teritoriul localităţii respective cu care se încheie contracte de închiriere prin atribuire directă trebuie să fie legal constituite cu cel puţin un an înainte de data depunerii cererii pentru atribuirea directă a contractului. </w:t>
      </w:r>
      <w:r>
        <w:rPr>
          <w:rFonts w:eastAsia="Times New Roman" w:cs="Times New Roman" w:ascii="Times New Roman" w:hAnsi="Times New Roman"/>
          <w:i/>
          <w:iCs/>
          <w:strike/>
          <w:vanish/>
          <w:color w:val="FF0000"/>
        </w:rPr>
        <w:t>(alineat introdus prin art. I pct. 9 din</w:t>
      </w:r>
      <w:r>
        <w:rPr>
          <w:rFonts w:eastAsia="Times New Roman" w:cs="Times New Roman" w:ascii="Times New Roman" w:hAnsi="Times New Roman"/>
          <w:strike/>
          <w:vanish/>
          <w:color w:val="FF0000"/>
        </w:rPr>
        <w:t xml:space="preserve"> </w:t>
      </w:r>
      <w:hyperlink r:id="rId6">
        <w:r>
          <w:rPr>
            <w:rStyle w:val="ListLabel22"/>
            <w:rFonts w:eastAsia="Times New Roman" w:cs="Times New Roman" w:ascii="Times New Roman" w:hAnsi="Times New Roman"/>
            <w:i/>
            <w:iCs/>
            <w:strike/>
            <w:vanish/>
            <w:color w:val="0000FF"/>
            <w:u w:val="single"/>
          </w:rPr>
          <w:t>Legea nr. 44/2018</w:t>
        </w:r>
      </w:hyperlink>
      <w:r>
        <w:rPr>
          <w:rFonts w:eastAsia="Times New Roman" w:cs="Times New Roman" w:ascii="Times New Roman" w:hAnsi="Times New Roman"/>
          <w:i/>
          <w:iCs/>
          <w:strike/>
          <w:vanish/>
          <w:color w:val="FF0000"/>
        </w:rPr>
        <w:t>, în vigoare de la 26 ianuarie 2018 până la 5 mai 2019)</w:t>
      </w:r>
      <w:r>
        <w:rPr>
          <w:rFonts w:eastAsia="Times New Roman" w:cs="Times New Roman" w:ascii="Times New Roman" w:hAnsi="Times New Roman"/>
          <w:strike/>
          <w:vanish/>
          <w:color w:val="FF0000"/>
        </w:rPr>
        <w:t xml:space="preserve"> ]| </w:t>
      </w:r>
      <w:r>
        <w:rPr>
          <w:rFonts w:eastAsia="Microsoft JhengHei" w:cs="Times New Roman" w:ascii="Times New Roman" w:hAnsi="Times New Roman"/>
          <w:color w:val="000000"/>
        </w:rPr>
        <w:t>, dupa  cum  urmeaza :</w:t>
      </w:r>
    </w:p>
    <w:tbl>
      <w:tblPr>
        <w:tblStyle w:val="TableGrid1"/>
        <w:tblW w:w="9540" w:type="dxa"/>
        <w:jc w:val="left"/>
        <w:tblInd w:w="-5" w:type="dxa"/>
        <w:tblCellMar>
          <w:top w:w="0" w:type="dxa"/>
          <w:left w:w="108" w:type="dxa"/>
          <w:bottom w:w="0" w:type="dxa"/>
          <w:right w:w="108" w:type="dxa"/>
        </w:tblCellMar>
        <w:tblLook w:firstRow="1" w:noVBand="1" w:lastRow="0" w:firstColumn="1" w:lastColumn="0" w:noHBand="0" w:val="04a0"/>
      </w:tblPr>
      <w:tblGrid>
        <w:gridCol w:w="500"/>
        <w:gridCol w:w="1361"/>
        <w:gridCol w:w="1071"/>
        <w:gridCol w:w="1260"/>
        <w:gridCol w:w="1208"/>
        <w:gridCol w:w="2563"/>
        <w:gridCol w:w="1576"/>
      </w:tblGrid>
      <w:tr>
        <w:trPr>
          <w:trHeight w:val="890" w:hRule="atLeast"/>
        </w:trPr>
        <w:tc>
          <w:tcPr>
            <w:tcW w:w="500"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Nr</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crt</w:t>
            </w:r>
          </w:p>
        </w:tc>
        <w:tc>
          <w:tcPr>
            <w:tcW w:w="1361"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 xml:space="preserve">Denumire  pasune , amplasament </w:t>
            </w:r>
          </w:p>
        </w:tc>
        <w:tc>
          <w:tcPr>
            <w:tcW w:w="1071"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Suprafata</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 xml:space="preserve">- ha- </w:t>
            </w:r>
          </w:p>
        </w:tc>
        <w:tc>
          <w:tcPr>
            <w:tcW w:w="1260"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 xml:space="preserve">Nr  topografic si  categoria de  folosinta </w:t>
            </w:r>
          </w:p>
        </w:tc>
        <w:tc>
          <w:tcPr>
            <w:tcW w:w="1208"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 xml:space="preserve">Numar  cadastral </w:t>
            </w:r>
          </w:p>
        </w:tc>
        <w:tc>
          <w:tcPr>
            <w:tcW w:w="2563"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 xml:space="preserve">Vecinatati </w:t>
            </w:r>
          </w:p>
        </w:tc>
        <w:tc>
          <w:tcPr>
            <w:tcW w:w="1576"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 xml:space="preserve">Proprietatea  UAT- Comuna  Ion Creanga </w:t>
            </w:r>
          </w:p>
        </w:tc>
      </w:tr>
      <w:tr>
        <w:trPr/>
        <w:tc>
          <w:tcPr>
            <w:tcW w:w="500"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1</w:t>
            </w:r>
          </w:p>
        </w:tc>
        <w:tc>
          <w:tcPr>
            <w:tcW w:w="1361"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Islaz – David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Lot 1</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Ion Creanga </w:t>
            </w:r>
          </w:p>
        </w:tc>
        <w:tc>
          <w:tcPr>
            <w:tcW w:w="1071"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5,00</w:t>
            </w:r>
          </w:p>
        </w:tc>
        <w:tc>
          <w:tcPr>
            <w:tcW w:w="1260"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T 53 , P 385</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pasune </w:t>
            </w:r>
          </w:p>
        </w:tc>
        <w:tc>
          <w:tcPr>
            <w:tcW w:w="1208"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sz w:val="20"/>
                <w:szCs w:val="20"/>
                <w:lang w:val="en-US"/>
              </w:rPr>
              <w:t>NC 54755,</w:t>
            </w:r>
          </w:p>
        </w:tc>
        <w:tc>
          <w:tcPr>
            <w:tcW w:w="2563"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N  - proprietați particulare,</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S-  proprietați particulare, </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pășune devălmășie Ion Creangă, </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E-  Lot 2 –   islaz  comunal, </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V- Islaz communal( Podaru Gheorghe),</w:t>
            </w:r>
          </w:p>
        </w:tc>
        <w:tc>
          <w:tcPr>
            <w:tcW w:w="1576"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sz w:val="20"/>
                <w:szCs w:val="20"/>
                <w:lang w:val="en-US"/>
              </w:rPr>
              <w:t>H.C.L nr. 33/ 2022 , poz 181 – Domeniul  Public</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tc>
      </w:tr>
      <w:tr>
        <w:trPr/>
        <w:tc>
          <w:tcPr>
            <w:tcW w:w="500"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2</w:t>
            </w:r>
          </w:p>
        </w:tc>
        <w:tc>
          <w:tcPr>
            <w:tcW w:w="1361"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Islaz – David</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Lot 2</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Ion Creanga</w:t>
            </w:r>
          </w:p>
        </w:tc>
        <w:tc>
          <w:tcPr>
            <w:tcW w:w="1071"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2,00</w:t>
            </w:r>
          </w:p>
        </w:tc>
        <w:tc>
          <w:tcPr>
            <w:tcW w:w="1260"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T 53, P 385</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sz w:val="20"/>
                <w:szCs w:val="20"/>
                <w:lang w:val="en-US"/>
              </w:rPr>
              <w:t>pasune</w:t>
            </w:r>
          </w:p>
        </w:tc>
        <w:tc>
          <w:tcPr>
            <w:tcW w:w="1208"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NC 54755</w:t>
            </w:r>
          </w:p>
        </w:tc>
        <w:tc>
          <w:tcPr>
            <w:tcW w:w="2563"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N  - proprietați particulare,</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 </w:t>
            </w:r>
            <w:r>
              <w:rPr>
                <w:rFonts w:cs="Times New Roman" w:ascii="Times New Roman" w:hAnsi="Times New Roman"/>
                <w:sz w:val="20"/>
                <w:szCs w:val="20"/>
                <w:lang w:val="en-US"/>
              </w:rPr>
              <w:t xml:space="preserve">S-  proprietați particulare, </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E-  islaz  communal(Tulpan Vle- Daniel ) </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V- lot 1-Islaz comunal, </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tc>
        <w:tc>
          <w:tcPr>
            <w:tcW w:w="1576"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-H.C.L nr. 33/ 2022 , poz 181 – Domeniul  Public,</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sz w:val="20"/>
                <w:szCs w:val="20"/>
                <w:lang w:val="en-US"/>
              </w:rPr>
              <w:t xml:space="preserve"> </w:t>
            </w:r>
            <w:r>
              <w:rPr>
                <w:rFonts w:cs="Times New Roman" w:ascii="Times New Roman" w:hAnsi="Times New Roman"/>
                <w:sz w:val="20"/>
                <w:szCs w:val="20"/>
                <w:lang w:val="en-US"/>
              </w:rPr>
              <w:t xml:space="preserve">suprafata de 0,5410 ha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-H.C.L nr. 58/ 2023 Poz 9,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Domeniul Privat ,suprafata de 1,459 ha   </w:t>
            </w:r>
          </w:p>
        </w:tc>
      </w:tr>
      <w:tr>
        <w:trPr/>
        <w:tc>
          <w:tcPr>
            <w:tcW w:w="500"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3</w:t>
            </w:r>
          </w:p>
        </w:tc>
        <w:tc>
          <w:tcPr>
            <w:tcW w:w="1361"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La  poligon- CATARG</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lang w:val="en-US"/>
              </w:rPr>
              <w:t xml:space="preserve"> </w:t>
            </w:r>
            <w:r>
              <w:rPr>
                <w:rFonts w:cs="Times New Roman" w:ascii="Times New Roman" w:hAnsi="Times New Roman"/>
                <w:sz w:val="20"/>
                <w:szCs w:val="20"/>
                <w:lang w:val="en-US"/>
              </w:rPr>
              <w:t>(</w:t>
            </w:r>
            <w:r>
              <w:rPr>
                <w:rFonts w:cs="Times New Roman" w:ascii="Times New Roman" w:hAnsi="Times New Roman"/>
                <w:sz w:val="20"/>
                <w:szCs w:val="20"/>
              </w:rPr>
              <w:t xml:space="preserve"> David)</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Lot 3</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Ion Creanga</w:t>
            </w:r>
          </w:p>
        </w:tc>
        <w:tc>
          <w:tcPr>
            <w:tcW w:w="1071"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15,00</w:t>
            </w:r>
          </w:p>
        </w:tc>
        <w:tc>
          <w:tcPr>
            <w:tcW w:w="1260"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 </w:t>
            </w:r>
            <w:r>
              <w:rPr>
                <w:rFonts w:cs="Times New Roman" w:ascii="Times New Roman" w:hAnsi="Times New Roman"/>
                <w:sz w:val="20"/>
                <w:szCs w:val="20"/>
                <w:lang w:val="en-US"/>
              </w:rPr>
              <w:t>T 60, P 399</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sz w:val="20"/>
                <w:szCs w:val="20"/>
                <w:lang w:val="en-US"/>
              </w:rPr>
              <w:t>pasune</w:t>
            </w:r>
          </w:p>
        </w:tc>
        <w:tc>
          <w:tcPr>
            <w:tcW w:w="1208"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sz w:val="20"/>
                <w:szCs w:val="20"/>
                <w:lang w:val="en-US"/>
              </w:rPr>
              <w:t>NC 54757</w:t>
            </w:r>
          </w:p>
        </w:tc>
        <w:tc>
          <w:tcPr>
            <w:tcW w:w="2563"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N  - pădure stat,</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 </w:t>
            </w:r>
            <w:r>
              <w:rPr>
                <w:rFonts w:cs="Times New Roman" w:ascii="Times New Roman" w:hAnsi="Times New Roman"/>
                <w:sz w:val="20"/>
                <w:szCs w:val="20"/>
                <w:lang w:val="en-US"/>
              </w:rPr>
              <w:t xml:space="preserve">S-  proprietați particulare, </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pășune devălmășie Ion Creangă,</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 </w:t>
            </w:r>
            <w:r>
              <w:rPr>
                <w:rFonts w:cs="Times New Roman" w:ascii="Times New Roman" w:hAnsi="Times New Roman"/>
                <w:sz w:val="20"/>
                <w:szCs w:val="20"/>
                <w:lang w:val="en-US"/>
              </w:rPr>
              <w:t xml:space="preserve">E-  proprietati particulare, </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V-padure stat , </w:t>
            </w:r>
          </w:p>
        </w:tc>
        <w:tc>
          <w:tcPr>
            <w:tcW w:w="1576"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H.C.L nr. 33/ 2022 , poz 180 – Domeniul  Public </w:t>
            </w:r>
          </w:p>
        </w:tc>
      </w:tr>
      <w:tr>
        <w:trPr/>
        <w:tc>
          <w:tcPr>
            <w:tcW w:w="500"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4</w:t>
            </w:r>
          </w:p>
        </w:tc>
        <w:tc>
          <w:tcPr>
            <w:tcW w:w="1361"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Pășune  TIGANCA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Lot 1</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Ion Creanga</w:t>
            </w:r>
          </w:p>
        </w:tc>
        <w:tc>
          <w:tcPr>
            <w:tcW w:w="1071"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4,00</w:t>
            </w:r>
          </w:p>
        </w:tc>
        <w:tc>
          <w:tcPr>
            <w:tcW w:w="1260"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T 35, P 283</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sz w:val="20"/>
                <w:szCs w:val="20"/>
                <w:lang w:val="en-US"/>
              </w:rPr>
              <w:t>pasune</w:t>
            </w:r>
          </w:p>
        </w:tc>
        <w:tc>
          <w:tcPr>
            <w:tcW w:w="1208"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sz w:val="20"/>
                <w:szCs w:val="20"/>
                <w:lang w:val="en-US"/>
              </w:rPr>
              <w:t>NC 52159</w:t>
            </w:r>
          </w:p>
        </w:tc>
        <w:tc>
          <w:tcPr>
            <w:tcW w:w="2563"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N  -pășune devălmășie, </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S-  islaz communal –lot.2 ,</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sz w:val="20"/>
                <w:szCs w:val="20"/>
                <w:lang w:val="en-US"/>
              </w:rPr>
              <w:t xml:space="preserve"> </w:t>
            </w:r>
            <w:r>
              <w:rPr>
                <w:rFonts w:cs="Times New Roman" w:ascii="Times New Roman" w:hAnsi="Times New Roman"/>
                <w:sz w:val="20"/>
                <w:szCs w:val="20"/>
                <w:lang w:val="en-US"/>
              </w:rPr>
              <w:t>E-  pășune devălmășie Izvoru , V- pășune devălmașie Ion Creangă</w:t>
            </w:r>
          </w:p>
        </w:tc>
        <w:tc>
          <w:tcPr>
            <w:tcW w:w="1576"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lang w:val="en-US"/>
              </w:rPr>
              <w:t>H.C.L nr. 33/ 2022 , poz 183 – Domeniul  Public</w:t>
            </w:r>
          </w:p>
        </w:tc>
      </w:tr>
      <w:tr>
        <w:trPr>
          <w:trHeight w:val="1025" w:hRule="atLeast"/>
        </w:trPr>
        <w:tc>
          <w:tcPr>
            <w:tcW w:w="500"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5</w:t>
            </w:r>
          </w:p>
        </w:tc>
        <w:tc>
          <w:tcPr>
            <w:tcW w:w="1361"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Pășune  TIGANCA</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Lot 2</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Ion Creanga</w:t>
            </w:r>
          </w:p>
        </w:tc>
        <w:tc>
          <w:tcPr>
            <w:tcW w:w="1071"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4,00</w:t>
            </w:r>
          </w:p>
        </w:tc>
        <w:tc>
          <w:tcPr>
            <w:tcW w:w="1260"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T 35, P 283</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sz w:val="20"/>
                <w:szCs w:val="20"/>
                <w:lang w:val="en-US"/>
              </w:rPr>
              <w:t>pasune</w:t>
            </w:r>
          </w:p>
        </w:tc>
        <w:tc>
          <w:tcPr>
            <w:tcW w:w="1208"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sz w:val="20"/>
                <w:szCs w:val="20"/>
                <w:lang w:val="en-US"/>
              </w:rPr>
              <w:t>NC 52159</w:t>
            </w:r>
          </w:p>
        </w:tc>
        <w:tc>
          <w:tcPr>
            <w:tcW w:w="2563"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N  -islaz communal –Lot 1,</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S-  islaz communal –lot.3 ,</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 </w:t>
            </w:r>
            <w:r>
              <w:rPr>
                <w:rFonts w:cs="Times New Roman" w:ascii="Times New Roman" w:hAnsi="Times New Roman"/>
                <w:sz w:val="20"/>
                <w:szCs w:val="20"/>
                <w:lang w:val="en-US"/>
              </w:rPr>
              <w:t>E-  pășune devălmășie Izvoru , V- pășune devălmașie Ion Creangă ,</w:t>
            </w:r>
          </w:p>
        </w:tc>
        <w:tc>
          <w:tcPr>
            <w:tcW w:w="1576"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lang w:val="en-US"/>
              </w:rPr>
              <w:t>H.C.L nr. 33/ 2022 , poz 183 – Domeniul  Public</w:t>
            </w:r>
          </w:p>
        </w:tc>
      </w:tr>
      <w:tr>
        <w:trPr/>
        <w:tc>
          <w:tcPr>
            <w:tcW w:w="500"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6</w:t>
            </w:r>
          </w:p>
        </w:tc>
        <w:tc>
          <w:tcPr>
            <w:tcW w:w="1361"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Pășune  TIGANCA</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Lot 3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Ion Creanga </w:t>
            </w:r>
          </w:p>
        </w:tc>
        <w:tc>
          <w:tcPr>
            <w:tcW w:w="1071"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7,73</w:t>
            </w:r>
          </w:p>
        </w:tc>
        <w:tc>
          <w:tcPr>
            <w:tcW w:w="1260"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T 35, P 283</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sz w:val="20"/>
                <w:szCs w:val="20"/>
                <w:lang w:val="en-US"/>
              </w:rPr>
              <w:t>pasune</w:t>
            </w:r>
          </w:p>
        </w:tc>
        <w:tc>
          <w:tcPr>
            <w:tcW w:w="1208" w:type="dxa"/>
            <w:tcBorders/>
            <w:shd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sz w:val="20"/>
                <w:szCs w:val="20"/>
                <w:lang w:val="en-US"/>
              </w:rPr>
              <w:t>NC 52159</w:t>
            </w:r>
          </w:p>
        </w:tc>
        <w:tc>
          <w:tcPr>
            <w:tcW w:w="2563" w:type="dxa"/>
            <w:tcBorders/>
            <w:shd w:fill="auto" w:val="clear"/>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N  -islaz communal –Lot 2,</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S-  islaz communal (Coșnete Clement ), </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E-  pășune devălmășie Izvoru , V- pășune devălmașie Ion Creangă ,</w:t>
            </w:r>
          </w:p>
        </w:tc>
        <w:tc>
          <w:tcPr>
            <w:tcW w:w="1576" w:type="dxa"/>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H.C.L nr. 33/ 2022 , poz 183 – Domeniul  Public</w:t>
            </w:r>
          </w:p>
        </w:tc>
      </w:tr>
      <w:tr>
        <w:trPr>
          <w:trHeight w:val="287" w:hRule="atLeast"/>
        </w:trPr>
        <w:tc>
          <w:tcPr>
            <w:tcW w:w="500"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r>
          </w:p>
        </w:tc>
        <w:tc>
          <w:tcPr>
            <w:tcW w:w="1361"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t>TOTAL</w:t>
            </w:r>
          </w:p>
        </w:tc>
        <w:tc>
          <w:tcPr>
            <w:tcW w:w="1071"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t>37,73</w:t>
            </w:r>
          </w:p>
        </w:tc>
        <w:tc>
          <w:tcPr>
            <w:tcW w:w="1260"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t>x</w:t>
            </w:r>
          </w:p>
        </w:tc>
        <w:tc>
          <w:tcPr>
            <w:tcW w:w="1208"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t>x</w:t>
            </w:r>
          </w:p>
        </w:tc>
        <w:tc>
          <w:tcPr>
            <w:tcW w:w="2563"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t>x</w:t>
            </w:r>
          </w:p>
        </w:tc>
        <w:tc>
          <w:tcPr>
            <w:tcW w:w="1576"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t>x</w:t>
            </w:r>
          </w:p>
        </w:tc>
      </w:tr>
    </w:tbl>
    <w:p>
      <w:pPr>
        <w:pStyle w:val="Normal"/>
        <w:spacing w:before="0" w:after="0"/>
        <w:ind w:firstLine="720"/>
        <w:jc w:val="both"/>
        <w:rPr>
          <w:rFonts w:ascii="Times New Roman" w:hAnsi="Times New Roman" w:eastAsia="Microsoft JhengHei" w:cs="Times New Roman"/>
          <w:color w:val="000000"/>
          <w:lang w:val="en-US"/>
        </w:rPr>
      </w:pPr>
      <w:r>
        <w:rPr>
          <w:rFonts w:eastAsia="Microsoft JhengHei" w:cs="Times New Roman" w:ascii="Times New Roman" w:hAnsi="Times New Roman"/>
          <w:color w:val="000000"/>
          <w:lang w:val="en-US"/>
        </w:rPr>
      </w:r>
    </w:p>
    <w:p>
      <w:pPr>
        <w:pStyle w:val="Normal"/>
        <w:spacing w:before="0" w:after="5"/>
        <w:ind w:left="57" w:right="21" w:firstLine="706"/>
        <w:jc w:val="both"/>
        <w:rPr>
          <w:rFonts w:ascii="Times New Roman" w:hAnsi="Times New Roman" w:cs="Times New Roman"/>
        </w:rPr>
      </w:pPr>
      <w:r>
        <w:rPr>
          <w:rFonts w:eastAsia="Times New Roman" w:cs="Times New Roman" w:ascii="Times New Roman" w:hAnsi="Times New Roman"/>
        </w:rPr>
        <w:t>Conform art.302, art.303, art.305, art.306, art.308-art.314, art.316-art.322, art.324, art.329, art. 332  si  art. 363  din Ordonanta de Urgenta nr.57 din 03.07.2019 privind Codul administrativ, sunt reglementate datele care privesc  inchirierea bunurilor proprietate publica  sau  privata , respectiv: obiectul dreptului de inchiriere, titularii dreptului de inchiriere, exercitarea dreptului deinchiriere, durata inchirierii, procedura administrativá de initiere ainchirierii, studiul de oportunitate, continutul caietului de sarcini, principii pentru atribuirea contractului de  inchiriere de bunuri proprietate publica si  sau  privata , reguli generale pentru atribuirea contractului de  inchiriere de bunuri proprietate publica sau  privata , continutul documentatiei de atribuire, licitatia, reguli privind oferta, comisia de evaluare, criteriile de atribuire a contractelor  de bunuri proprietate publică, determinarea ofertei castigatoare, anularea procedurii de atribuire a contractului de bunuri proprietate publica, reguli privind conflictul de interese, incheierea contractului deinchiriere  de bunuri proprietate publica, continutul contractului de  inchiriere de bunuri proprietate publica, drepturile si obligatiilechiriasului , drepturile si obligatiile concedentului, incetarea contractului de  inchiriere de bunuri proprietate publica sau  si  privata ,  evidenta informatiilor cu privire la desfasurarea procedurilor de inchiriere si la derularea contractelor de  inchiriere de bunuri proprietate publica si  sau  privata ,  exercitarea controlului.</w:t>
      </w:r>
    </w:p>
    <w:p>
      <w:pPr>
        <w:pStyle w:val="Normal"/>
        <w:spacing w:before="0" w:after="0"/>
        <w:ind w:left="57" w:right="21" w:firstLine="778"/>
        <w:jc w:val="both"/>
        <w:rPr>
          <w:rFonts w:ascii="Times New Roman" w:hAnsi="Times New Roman" w:eastAsia="Times New Roman" w:cs="Times New Roman"/>
          <w:color w:val="000000"/>
          <w:lang w:val="en-US"/>
        </w:rPr>
      </w:pPr>
      <w:r>
        <w:rPr>
          <w:rFonts w:eastAsia="Times New Roman" w:cs="Times New Roman" w:ascii="Times New Roman" w:hAnsi="Times New Roman"/>
          <w:color w:val="000000"/>
          <w:lang w:val="en-US"/>
        </w:rPr>
        <w:t>Fata de cele precizate mai sus, propun spre analiza, dezbatere  si aprobare Consiliului Local Ion Creanga    proiectul de hotărâre în forma redactata prezentată alaturat.</w:t>
      </w:r>
    </w:p>
    <w:p>
      <w:pPr>
        <w:pStyle w:val="NoSpacing"/>
        <w:spacing w:lineRule="auto" w:line="276"/>
        <w:rPr>
          <w:rFonts w:ascii="Times New Roman" w:hAnsi="Times New Roman" w:cs="Times New Roman"/>
        </w:rPr>
      </w:pPr>
      <w:r>
        <w:rPr>
          <w:rFonts w:cs="Times New Roman" w:ascii="Times New Roman" w:hAnsi="Times New Roman"/>
        </w:rPr>
      </w:r>
    </w:p>
    <w:p>
      <w:pPr>
        <w:pStyle w:val="NoSpacing"/>
        <w:spacing w:lineRule="auto" w:line="276"/>
        <w:jc w:val="center"/>
        <w:rPr>
          <w:rFonts w:ascii="Times New Roman" w:hAnsi="Times New Roman" w:cs="Times New Roman"/>
        </w:rPr>
      </w:pPr>
      <w:r>
        <w:rPr>
          <w:rFonts w:cs="Times New Roman" w:ascii="Times New Roman" w:hAnsi="Times New Roman"/>
        </w:rPr>
        <w:t>PRIMAR,</w:t>
      </w:r>
    </w:p>
    <w:p>
      <w:pPr>
        <w:pStyle w:val="NoSpacing"/>
        <w:spacing w:lineRule="auto" w:line="276"/>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Dumitru- Dorin TABACARIU </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ROMANIA</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JUDETUL NEAMT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PRIMARIA COMUNEI ION CREANGĂ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Nr. 3712  din 01.04.2025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RAPORT DE SPECIALITATE</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La Proiectul de hotărâre privind aprobarea închirierii prin licitatie publica  a unor suprafete din islazul comunal</w:t>
      </w:r>
    </w:p>
    <w:p>
      <w:pPr>
        <w:pStyle w:val="Normal"/>
        <w:spacing w:before="0" w:after="0"/>
        <w:ind w:firstLine="72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Autospacing="1" w:afterAutospacing="1"/>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ab/>
      </w:r>
      <w:r>
        <w:rPr>
          <w:rFonts w:eastAsia="Times New Roman" w:cs="Times New Roman" w:ascii="Times New Roman" w:hAnsi="Times New Roman"/>
          <w:sz w:val="28"/>
          <w:szCs w:val="28"/>
        </w:rPr>
        <w:t>În contextul expirării contractelor de închiriere a unor suprafețe de pășune, se impune organizarea unei licitații pentru atribuirea acestora, în conformitate cu</w:t>
      </w:r>
      <w:r>
        <w:rPr>
          <w:rFonts w:cs="Times New Roman" w:ascii="Times New Roman" w:hAnsi="Times New Roman"/>
          <w:sz w:val="28"/>
          <w:szCs w:val="28"/>
        </w:rPr>
        <w:t xml:space="preserve"> art.9 din O.U.G nr. 34/2013 privind organizarea, administrarea și</w:t>
      </w:r>
      <w:r>
        <w:rPr>
          <w:rFonts w:eastAsia="Times New Roman" w:cs="Times New Roman" w:ascii="Times New Roman" w:hAnsi="Times New Roman"/>
          <w:sz w:val="28"/>
          <w:szCs w:val="28"/>
        </w:rPr>
        <w:t xml:space="preserve"> </w:t>
      </w:r>
      <w:r>
        <w:rPr>
          <w:rFonts w:cs="Times New Roman" w:ascii="Times New Roman" w:hAnsi="Times New Roman"/>
          <w:sz w:val="28"/>
          <w:szCs w:val="28"/>
        </w:rPr>
        <w:t>exploatarea pajistilor permanente și pentru modificarea și completării Legii fondului funciar nr.18/1991 cu modificările și completările ulterioare.</w:t>
      </w:r>
      <w:r>
        <w:rPr>
          <w:rFonts w:eastAsia="Times New Roman" w:cs="Times New Roman" w:ascii="Times New Roman" w:hAnsi="Times New Roman"/>
          <w:sz w:val="28"/>
          <w:szCs w:val="28"/>
        </w:rPr>
        <w:t>.</w:t>
      </w:r>
    </w:p>
    <w:p>
      <w:pPr>
        <w:pStyle w:val="Normal"/>
        <w:spacing w:lineRule="auto" w:line="240" w:beforeAutospacing="1" w:afterAutospacing="1"/>
        <w:rPr>
          <w:rFonts w:ascii="Times New Roman" w:hAnsi="Times New Roman" w:eastAsia="Times New Roman" w:cs="Times New Roman"/>
          <w:bCs/>
          <w:sz w:val="28"/>
          <w:szCs w:val="28"/>
        </w:rPr>
      </w:pPr>
      <w:r>
        <w:rPr>
          <w:rFonts w:eastAsia="Times New Roman" w:cs="Times New Roman" w:ascii="Times New Roman" w:hAnsi="Times New Roman"/>
          <w:b/>
          <w:bCs/>
          <w:sz w:val="28"/>
          <w:szCs w:val="28"/>
        </w:rPr>
        <w:tab/>
      </w:r>
      <w:r>
        <w:rPr>
          <w:rFonts w:eastAsia="Times New Roman" w:cs="Times New Roman" w:ascii="Times New Roman" w:hAnsi="Times New Roman"/>
          <w:bCs/>
          <w:sz w:val="28"/>
          <w:szCs w:val="28"/>
        </w:rPr>
        <w:t>Terenurile pasune ce urmează a fi scoase la licitație au fost evaluate de catre evaluator specializat, rapoarte de evaluari predate cu proces verbal de predare -primire nr. 4061 din 09.04.2025 si acestea  terenuri pasune sunt:</w:t>
      </w:r>
    </w:p>
    <w:p>
      <w:pPr>
        <w:pStyle w:val="ListParagraph"/>
        <w:numPr>
          <w:ilvl w:val="0"/>
          <w:numId w:val="4"/>
        </w:numPr>
        <w:tabs>
          <w:tab w:val="clear" w:pos="720"/>
          <w:tab w:val="left" w:pos="360" w:leader="none"/>
        </w:tabs>
        <w:spacing w:lineRule="auto" w:line="240" w:beforeAutospacing="1" w:afterAutospacing="1"/>
        <w:ind w:left="360" w:hanging="36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teren extravilan pașune , cu suprafața de 22 ha din care 7 ha înscrisă în CF 54755, pret de pornire 535 lei/ha/an și 15 ha înscrisă în CF 54757, pret de pornire 446 lei/ha/an, tarla David Comuna Ion Creanga, pentru care s-a întocmit Raportul de evaluare inregistrat cu nr. 4021 din 09.04.2025 </w:t>
      </w:r>
    </w:p>
    <w:p>
      <w:pPr>
        <w:pStyle w:val="ListParagraph"/>
        <w:tabs>
          <w:tab w:val="clear" w:pos="720"/>
          <w:tab w:val="left" w:pos="360" w:leader="none"/>
        </w:tabs>
        <w:spacing w:lineRule="auto" w:line="240" w:beforeAutospacing="1" w:afterAutospacing="1"/>
        <w:ind w:left="360" w:hanging="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istParagraph"/>
        <w:numPr>
          <w:ilvl w:val="0"/>
          <w:numId w:val="4"/>
        </w:numPr>
        <w:spacing w:lineRule="auto" w:line="240" w:beforeAutospacing="1" w:afterAutospacing="1"/>
        <w:ind w:left="360" w:hanging="36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teren extravilan pașune, cu suprafața de 15,73 ha tarla Țiganca înscrisă în CF 52159, preț de pornire 446 lei/ha/an, comuna Ion Creanga, pentru care s-a întocmit  Raportul de evaluare inregistrat cu  nr.4060 din 09.04.2025</w:t>
      </w:r>
    </w:p>
    <w:p>
      <w:pPr>
        <w:pStyle w:val="ListParagraph"/>
        <w:spacing w:lineRule="auto" w:line="240" w:beforeAutospacing="1" w:afterAutospacing="1"/>
        <w:ind w:left="360" w:hanging="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istParagraph"/>
        <w:spacing w:lineRule="auto" w:line="240" w:beforeAutospacing="1" w:afterAutospacing="1"/>
        <w:ind w:left="360" w:hanging="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Față de cele expuse mai sus, </w:t>
      </w:r>
      <w:r>
        <w:rPr>
          <w:rFonts w:cs="Times New Roman" w:ascii="Times New Roman" w:hAnsi="Times New Roman"/>
          <w:sz w:val="28"/>
          <w:szCs w:val="28"/>
        </w:rPr>
        <w:t xml:space="preserve">vă supun spre analiză proiectul de hotărâre privind aprobarea prin licitatie publica  a unor suprafete din islazul comunal. </w:t>
      </w:r>
    </w:p>
    <w:p>
      <w:pPr>
        <w:pStyle w:val="Normal"/>
        <w:spacing w:before="0" w:after="0"/>
        <w:ind w:firstLine="720"/>
        <w:jc w:val="center"/>
        <w:rPr>
          <w:rFonts w:ascii="Times New Roman" w:hAnsi="Times New Roman" w:cs="Times New Roman"/>
          <w:sz w:val="28"/>
          <w:szCs w:val="28"/>
        </w:rPr>
      </w:pPr>
      <w:r>
        <w:rPr>
          <w:rFonts w:cs="Times New Roman" w:ascii="Times New Roman" w:hAnsi="Times New Roman"/>
          <w:sz w:val="28"/>
          <w:szCs w:val="28"/>
        </w:rPr>
        <w:t>Intocmit,</w:t>
      </w:r>
    </w:p>
    <w:p>
      <w:pPr>
        <w:pStyle w:val="Normal"/>
        <w:spacing w:before="0" w:after="0"/>
        <w:ind w:firstLine="720"/>
        <w:jc w:val="center"/>
        <w:rPr>
          <w:rFonts w:ascii="Times New Roman" w:hAnsi="Times New Roman" w:cs="Times New Roman"/>
          <w:sz w:val="28"/>
          <w:szCs w:val="28"/>
        </w:rPr>
      </w:pPr>
      <w:r>
        <w:rPr>
          <w:rFonts w:cs="Times New Roman" w:ascii="Times New Roman" w:hAnsi="Times New Roman"/>
          <w:sz w:val="28"/>
          <w:szCs w:val="28"/>
        </w:rPr>
        <w:t>Mariana Trișcău</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eastAsia="Calibri"/>
          <w:b/>
          <w:b/>
          <w:sz w:val="24"/>
          <w:szCs w:val="24"/>
        </w:rPr>
      </w:pPr>
      <w:r>
        <w:rPr>
          <w:rFonts w:eastAsia="Calibri" w:ascii="Times New Roman" w:hAnsi="Times New Roman"/>
          <w:b/>
          <w:sz w:val="24"/>
          <w:szCs w:val="24"/>
        </w:rPr>
        <w:t xml:space="preserve">AVIZ  </w:t>
      </w:r>
    </w:p>
    <w:p>
      <w:pPr>
        <w:pStyle w:val="Normal"/>
        <w:rPr>
          <w:rFonts w:ascii="Times New Roman" w:hAnsi="Times New Roman" w:eastAsia="Calibri"/>
          <w:b/>
          <w:b/>
          <w:sz w:val="24"/>
          <w:szCs w:val="24"/>
        </w:rPr>
      </w:pPr>
      <w:r>
        <w:rPr>
          <w:rFonts w:eastAsia="Calibri" w:ascii="Times New Roman" w:hAnsi="Times New Roman"/>
          <w:b/>
          <w:sz w:val="24"/>
          <w:szCs w:val="24"/>
        </w:rPr>
      </w:r>
    </w:p>
    <w:p>
      <w:pPr>
        <w:pStyle w:val="NoSpacing"/>
        <w:spacing w:lineRule="auto" w:line="276"/>
        <w:jc w:val="center"/>
        <w:rPr>
          <w:rFonts w:ascii="Times New Roman" w:hAnsi="Times New Roman" w:cs="Times New Roman"/>
          <w:sz w:val="24"/>
          <w:szCs w:val="24"/>
        </w:rPr>
      </w:pPr>
      <w:r>
        <w:rPr>
          <w:rFonts w:eastAsia="Calibri" w:ascii="Times New Roman" w:hAnsi="Times New Roman"/>
          <w:b/>
          <w:color w:val="000000"/>
          <w:sz w:val="24"/>
          <w:szCs w:val="24"/>
        </w:rPr>
        <w:t xml:space="preserve">privind avizul de legalitate </w:t>
      </w:r>
      <w:r>
        <w:rPr>
          <w:rFonts w:eastAsia="Calibri" w:ascii="Times New Roman" w:hAnsi="Times New Roman"/>
          <w:color w:val="000000"/>
          <w:sz w:val="24"/>
          <w:szCs w:val="24"/>
        </w:rPr>
        <w:t xml:space="preserve"> </w:t>
      </w:r>
      <w:r>
        <w:rPr>
          <w:rFonts w:eastAsia="Calibri" w:ascii="Times New Roman" w:hAnsi="Times New Roman"/>
          <w:b/>
          <w:bCs/>
          <w:color w:val="000000"/>
          <w:sz w:val="24"/>
          <w:szCs w:val="24"/>
        </w:rPr>
        <w:t>la proiectul de hotărâre</w:t>
      </w:r>
      <w:r>
        <w:rPr>
          <w:rFonts w:ascii="Times New Roman" w:hAnsi="Times New Roman"/>
          <w:b/>
          <w:sz w:val="24"/>
          <w:szCs w:val="24"/>
        </w:rPr>
        <w:t xml:space="preserve"> </w:t>
      </w:r>
      <w:r>
        <w:rPr>
          <w:rFonts w:cs="Times New Roman" w:ascii="Times New Roman" w:hAnsi="Times New Roman"/>
          <w:b/>
          <w:sz w:val="24"/>
          <w:szCs w:val="24"/>
        </w:rPr>
        <w:t>privind aprobarea închirierii prin licitatie publica a unor suprafete de păşune comunala , proprietatea Comunei Ion Creanga și a documentatiilor necesare în vederea atribuirii contractelor de închiriere</w:t>
      </w:r>
      <w:r>
        <w:rPr>
          <w:rFonts w:cs="Times New Roman" w:ascii="Times New Roman" w:hAnsi="Times New Roman"/>
          <w:sz w:val="24"/>
          <w:szCs w:val="24"/>
        </w:rPr>
        <w:t>.</w:t>
      </w:r>
    </w:p>
    <w:p>
      <w:pPr>
        <w:pStyle w:val="Normal"/>
        <w:jc w:val="center"/>
        <w:rPr>
          <w:rFonts w:ascii="Times New Roman" w:hAnsi="Times New Roman"/>
          <w:b/>
          <w:b/>
          <w:bCs/>
          <w:sz w:val="24"/>
          <w:szCs w:val="24"/>
        </w:rPr>
      </w:pPr>
      <w:r>
        <w:rPr>
          <w:rFonts w:ascii="Times New Roman" w:hAnsi="Times New Roman"/>
          <w:b/>
          <w:bCs/>
          <w:sz w:val="24"/>
          <w:szCs w:val="24"/>
        </w:rPr>
      </w:r>
    </w:p>
    <w:p>
      <w:pPr>
        <w:pStyle w:val="Normal"/>
        <w:ind w:right="-476" w:hanging="0"/>
        <w:rPr>
          <w:rFonts w:ascii="Times New Roman" w:hAnsi="Times New Roman" w:eastAsia="Calibri"/>
          <w:sz w:val="24"/>
          <w:szCs w:val="24"/>
        </w:rPr>
      </w:pPr>
      <w:r>
        <w:rPr>
          <w:rFonts w:eastAsia="Calibri" w:ascii="Times New Roman" w:hAnsi="Times New Roman"/>
          <w:sz w:val="24"/>
          <w:szCs w:val="24"/>
        </w:rPr>
      </w:r>
    </w:p>
    <w:p>
      <w:pPr>
        <w:pStyle w:val="Normal"/>
        <w:rPr>
          <w:rFonts w:ascii="Times New Roman" w:hAnsi="Times New Roman" w:eastAsia="Calibri"/>
          <w:sz w:val="24"/>
          <w:szCs w:val="24"/>
        </w:rPr>
      </w:pPr>
      <w:r>
        <w:rPr>
          <w:rFonts w:eastAsia="Calibri" w:ascii="Times New Roman" w:hAnsi="Times New Roman"/>
          <w:sz w:val="24"/>
          <w:szCs w:val="24"/>
        </w:rPr>
        <w:t xml:space="preserve">       </w:t>
      </w:r>
      <w:r>
        <w:rPr>
          <w:rFonts w:eastAsia="Calibri" w:ascii="Times New Roman" w:hAnsi="Times New Roman"/>
          <w:sz w:val="24"/>
          <w:szCs w:val="24"/>
        </w:rPr>
        <w:t xml:space="preserve">În conformitate cu prevederile art.243 alin.(1) lit.”a” din O.U.G nr.57/ 2019 privind  Codul  administrativ , înaintez consiliului local prezentul aviz. </w:t>
      </w:r>
    </w:p>
    <w:p>
      <w:pPr>
        <w:pStyle w:val="Normal"/>
        <w:jc w:val="both"/>
        <w:rPr>
          <w:rFonts w:ascii="Times New Roman" w:hAnsi="Times New Roman" w:eastAsia="Calibri"/>
          <w:sz w:val="24"/>
          <w:szCs w:val="24"/>
        </w:rPr>
      </w:pPr>
      <w:r>
        <w:rPr>
          <w:rFonts w:eastAsia="Calibri" w:ascii="Times New Roman" w:hAnsi="Times New Roman"/>
          <w:sz w:val="24"/>
          <w:szCs w:val="24"/>
        </w:rPr>
      </w:r>
    </w:p>
    <w:p>
      <w:pPr>
        <w:pStyle w:val="Normal"/>
        <w:jc w:val="both"/>
        <w:rPr>
          <w:rFonts w:ascii="Times New Roman" w:hAnsi="Times New Roman" w:eastAsia="Calibri"/>
          <w:sz w:val="24"/>
          <w:szCs w:val="24"/>
        </w:rPr>
      </w:pPr>
      <w:r>
        <w:rPr>
          <w:rFonts w:eastAsia="Calibri" w:ascii="Times New Roman" w:hAnsi="Times New Roman"/>
          <w:sz w:val="24"/>
          <w:szCs w:val="24"/>
        </w:rPr>
        <w:t xml:space="preserve">     </w:t>
      </w:r>
      <w:r>
        <w:rPr>
          <w:rFonts w:eastAsia="Calibri" w:ascii="Times New Roman" w:hAnsi="Times New Roman"/>
          <w:sz w:val="24"/>
          <w:szCs w:val="24"/>
        </w:rPr>
        <w:t xml:space="preserve">Analizând proiectul de hotărâre inițiat de primarul comunei  Ion Creanga , am constatat că sunt îndeplinite condiţiile de fond și de formă ale proiectului de hotărâre : </w:t>
      </w:r>
    </w:p>
    <w:p>
      <w:pPr>
        <w:pStyle w:val="Normal"/>
        <w:numPr>
          <w:ilvl w:val="0"/>
          <w:numId w:val="1"/>
        </w:numPr>
        <w:spacing w:before="0" w:after="200"/>
        <w:ind w:left="644" w:hanging="360"/>
        <w:contextualSpacing/>
        <w:jc w:val="both"/>
        <w:rPr>
          <w:rFonts w:ascii="Times New Roman" w:hAnsi="Times New Roman" w:eastAsia="Calibri"/>
          <w:sz w:val="24"/>
          <w:szCs w:val="24"/>
        </w:rPr>
      </w:pPr>
      <w:r>
        <w:rPr>
          <w:rFonts w:eastAsia="Calibri"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pPr>
        <w:pStyle w:val="Normal"/>
        <w:numPr>
          <w:ilvl w:val="0"/>
          <w:numId w:val="1"/>
        </w:numPr>
        <w:spacing w:before="0" w:after="200"/>
        <w:ind w:left="644" w:hanging="360"/>
        <w:contextualSpacing/>
        <w:rPr>
          <w:rFonts w:ascii="Times New Roman" w:hAnsi="Times New Roman" w:eastAsia="Calibri"/>
          <w:sz w:val="24"/>
          <w:szCs w:val="24"/>
        </w:rPr>
      </w:pPr>
      <w:r>
        <w:rPr>
          <w:rFonts w:eastAsia="Calibri" w:ascii="Times New Roman" w:hAnsi="Times New Roman"/>
          <w:sz w:val="24"/>
          <w:szCs w:val="24"/>
        </w:rPr>
        <w:t>Este iniţiat de dl. primar, conf.art. 136  alin.(1)   din O.U.G nr.57/ 2019 privind  Codul  administrativ ,</w:t>
      </w:r>
    </w:p>
    <w:p>
      <w:pPr>
        <w:pStyle w:val="Normal"/>
        <w:spacing w:before="0" w:after="200"/>
        <w:contextualSpacing/>
        <w:rPr>
          <w:rFonts w:ascii="Times New Roman" w:hAnsi="Times New Roman" w:eastAsia="Calibri"/>
          <w:sz w:val="24"/>
          <w:szCs w:val="24"/>
        </w:rPr>
      </w:pPr>
      <w:r>
        <w:rPr>
          <w:rFonts w:eastAsia="Calibri" w:ascii="Times New Roman" w:hAnsi="Times New Roman"/>
          <w:sz w:val="24"/>
          <w:szCs w:val="24"/>
        </w:rPr>
      </w:r>
    </w:p>
    <w:p>
      <w:pPr>
        <w:pStyle w:val="NoSpacing"/>
        <w:spacing w:lineRule="auto" w:line="276"/>
        <w:ind w:right="-270" w:hanging="0"/>
        <w:rPr>
          <w:rFonts w:ascii="Times New Roman" w:hAnsi="Times New Roman" w:cs="Times New Roman"/>
          <w:sz w:val="24"/>
          <w:szCs w:val="24"/>
        </w:rPr>
      </w:pPr>
      <w:r>
        <w:rPr>
          <w:rFonts w:eastAsia="Calibri" w:ascii="Times New Roman" w:hAnsi="Times New Roman"/>
          <w:sz w:val="24"/>
          <w:szCs w:val="24"/>
        </w:rPr>
        <w:t xml:space="preserve">      </w:t>
      </w:r>
      <w:r>
        <w:rPr>
          <w:rFonts w:eastAsia="Calibri" w:ascii="Times New Roman" w:hAnsi="Times New Roman"/>
          <w:sz w:val="24"/>
          <w:szCs w:val="24"/>
        </w:rPr>
        <w:t xml:space="preserve">Este elaborat conform : </w:t>
      </w:r>
      <w:r>
        <w:rPr>
          <w:rFonts w:cs="Times New Roman" w:ascii="Times New Roman" w:hAnsi="Times New Roman"/>
          <w:sz w:val="24"/>
          <w:szCs w:val="24"/>
        </w:rPr>
        <w:t>art. 129 alin. (2) lit.,,c”  alin.(6) lit.,, a  si b”,art.139 alin.(3) lit.,,g ”, art.196 alin.(1) lit.,, a” ,art.297 alin.(1) lit.,, c”  si art.299 din O.U.G. nr.57/2019 privind Codul administrative,cu modificările şi completările ulterioare.</w:t>
      </w:r>
    </w:p>
    <w:p>
      <w:pPr>
        <w:pStyle w:val="Normal"/>
        <w:ind w:right="-96" w:hanging="0"/>
        <w:rPr>
          <w:rFonts w:ascii="Times New Roman" w:hAnsi="Times New Roman"/>
          <w:sz w:val="24"/>
          <w:szCs w:val="24"/>
        </w:rPr>
      </w:pPr>
      <w:r>
        <w:rPr>
          <w:rFonts w:ascii="Times New Roman" w:hAnsi="Times New Roman"/>
          <w:sz w:val="24"/>
          <w:szCs w:val="24"/>
        </w:rPr>
      </w:r>
    </w:p>
    <w:p>
      <w:pPr>
        <w:pStyle w:val="Normal"/>
        <w:ind w:right="-618" w:hanging="0"/>
        <w:rPr>
          <w:rFonts w:ascii="Times New Roman" w:hAnsi="Times New Roman"/>
          <w:sz w:val="24"/>
          <w:szCs w:val="24"/>
        </w:rPr>
      </w:pPr>
      <w:r>
        <w:rPr>
          <w:rFonts w:ascii="Times New Roman" w:hAnsi="Times New Roman"/>
          <w:sz w:val="24"/>
          <w:szCs w:val="24"/>
        </w:rPr>
      </w:r>
    </w:p>
    <w:p>
      <w:pPr>
        <w:pStyle w:val="NoSpacing"/>
        <w:spacing w:lineRule="auto" w:line="276"/>
        <w:rPr>
          <w:rFonts w:ascii="Times New Roman" w:hAnsi="Times New Roman" w:cs="Times New Roman"/>
          <w:sz w:val="24"/>
          <w:szCs w:val="24"/>
        </w:rPr>
      </w:pPr>
      <w:r>
        <w:rPr>
          <w:rFonts w:eastAsia="Calibri" w:ascii="Times New Roman" w:hAnsi="Times New Roman"/>
          <w:color w:val="000000"/>
          <w:sz w:val="24"/>
          <w:szCs w:val="24"/>
        </w:rPr>
        <w:t xml:space="preserve">    </w:t>
      </w:r>
      <w:r>
        <w:rPr>
          <w:rFonts w:eastAsia="Calibri" w:ascii="Times New Roman" w:hAnsi="Times New Roman"/>
          <w:bCs/>
          <w:color w:val="000000"/>
          <w:sz w:val="24"/>
          <w:szCs w:val="24"/>
        </w:rPr>
        <w:t xml:space="preserve">Tinând cont  ca proiectul de  hotărâre, este  insotit  de referatul de  aprobare  al  primarului  comunei  si de raportul  compartimentului  de  specialitate , consider că sunt îndeplinite condiţiile şi avizez favorabil  proiectul de hotărâre </w:t>
      </w:r>
      <w:r>
        <w:rPr>
          <w:rFonts w:cs="Times New Roman" w:ascii="Times New Roman" w:hAnsi="Times New Roman"/>
          <w:sz w:val="24"/>
          <w:szCs w:val="24"/>
        </w:rPr>
        <w:t>privind aprobarea închirierii prin licitatie publica a unor suprafete de păşune comunala , proprietatea Comunei Ion Creanga și a documentatiilor necesare în vederea atribuirii contractelor de închiriere.</w:t>
      </w:r>
    </w:p>
    <w:p>
      <w:pPr>
        <w:pStyle w:val="Normal"/>
        <w:rPr>
          <w:rFonts w:ascii="Times New Roman" w:hAnsi="Times New Roman"/>
          <w:bCs/>
          <w:sz w:val="24"/>
          <w:szCs w:val="24"/>
        </w:rPr>
      </w:pPr>
      <w:r>
        <w:rPr>
          <w:rFonts w:ascii="Times New Roman" w:hAnsi="Times New Roman"/>
          <w:bCs/>
          <w:sz w:val="24"/>
          <w:szCs w:val="24"/>
        </w:rPr>
      </w:r>
    </w:p>
    <w:p>
      <w:pPr>
        <w:pStyle w:val="Normal"/>
        <w:spacing w:before="0" w:after="0"/>
        <w:jc w:val="center"/>
        <w:rPr>
          <w:rFonts w:ascii="Times New Roman" w:hAnsi="Times New Roman" w:eastAsia="Calibri"/>
          <w:sz w:val="24"/>
          <w:szCs w:val="24"/>
        </w:rPr>
      </w:pPr>
      <w:r>
        <w:rPr>
          <w:rFonts w:eastAsia="Calibri" w:ascii="Times New Roman" w:hAnsi="Times New Roman"/>
          <w:sz w:val="24"/>
          <w:szCs w:val="24"/>
        </w:rPr>
        <w:t>Ion Creanga , la data de 02.04.2025</w:t>
      </w:r>
    </w:p>
    <w:p>
      <w:pPr>
        <w:pStyle w:val="Normal"/>
        <w:spacing w:before="0" w:after="0"/>
        <w:jc w:val="center"/>
        <w:rPr>
          <w:rFonts w:ascii="Times New Roman" w:hAnsi="Times New Roman" w:eastAsia="Calibri"/>
          <w:sz w:val="24"/>
          <w:szCs w:val="24"/>
        </w:rPr>
      </w:pPr>
      <w:r>
        <w:rPr>
          <w:rFonts w:eastAsia="Calibri" w:ascii="Times New Roman" w:hAnsi="Times New Roman"/>
          <w:sz w:val="24"/>
          <w:szCs w:val="24"/>
        </w:rPr>
        <w:t xml:space="preserve">SECRETAR  GENERAL </w:t>
      </w:r>
    </w:p>
    <w:p>
      <w:pPr>
        <w:pStyle w:val="Normal"/>
        <w:spacing w:before="0" w:after="0"/>
        <w:jc w:val="center"/>
        <w:rPr>
          <w:rFonts w:ascii="Times New Roman" w:hAnsi="Times New Roman" w:eastAsia="Calibri"/>
          <w:sz w:val="24"/>
          <w:szCs w:val="24"/>
        </w:rPr>
      </w:pPr>
      <w:r>
        <w:rPr>
          <w:rFonts w:eastAsia="Calibri" w:ascii="Times New Roman" w:hAnsi="Times New Roman"/>
          <w:sz w:val="24"/>
          <w:szCs w:val="24"/>
        </w:rPr>
        <w:t xml:space="preserve">Mihaela   Niță  </w:t>
      </w:r>
    </w:p>
    <w:p>
      <w:pPr>
        <w:pStyle w:val="Normal"/>
        <w:jc w:val="center"/>
        <w:rPr>
          <w:rFonts w:ascii="Times New Roman" w:hAnsi="Times New Roman"/>
          <w:color w:val="000000"/>
          <w:sz w:val="24"/>
          <w:szCs w:val="24"/>
        </w:rPr>
      </w:pPr>
      <w:r>
        <w:rPr>
          <w:rFonts w:ascii="Times New Roman" w:hAnsi="Times New Roman"/>
          <w:color w:val="000000"/>
          <w:sz w:val="24"/>
          <w:szCs w:val="24"/>
        </w:rPr>
      </w:r>
    </w:p>
    <w:p>
      <w:pPr>
        <w:pStyle w:val="Normal"/>
        <w:spacing w:before="0" w:after="200"/>
        <w:jc w:val="center"/>
        <w:rPr/>
      </w:pPr>
      <w:r>
        <w:rPr/>
      </w:r>
    </w:p>
    <w:sectPr>
      <w:type w:val="nextPage"/>
      <w:pgSz w:w="12240" w:h="15840"/>
      <w:pgMar w:left="1440" w:right="1440" w:header="0" w:top="720" w:footer="0" w:bottom="81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Segoe UI">
    <w:charset w:val="ee"/>
    <w:family w:val="roman"/>
    <w:pitch w:val="variable"/>
  </w:font>
  <w:font w:name="Arial">
    <w:charset w:val="ee"/>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390" w:hanging="360"/>
      </w:pPr>
      <w:rPr>
        <w:rFonts w:ascii="Times New Roman" w:hAnsi="Times New Roman" w:cs="Times New Roman" w:hint="default"/>
        <w:sz w:val="24"/>
        <w:rFonts w:cs="Times New Roman"/>
      </w:rPr>
    </w:lvl>
    <w:lvl w:ilvl="1">
      <w:start w:val="1"/>
      <w:numFmt w:val="bullet"/>
      <w:lvlText w:val="o"/>
      <w:lvlJc w:val="left"/>
      <w:pPr>
        <w:ind w:left="1110" w:hanging="360"/>
      </w:pPr>
      <w:rPr>
        <w:rFonts w:ascii="Courier New" w:hAnsi="Courier New" w:cs="Courier New" w:hint="default"/>
        <w:rFonts w:cs="Courier New"/>
      </w:rPr>
    </w:lvl>
    <w:lvl w:ilvl="2">
      <w:start w:val="1"/>
      <w:numFmt w:val="bullet"/>
      <w:lvlText w:val=""/>
      <w:lvlJc w:val="left"/>
      <w:pPr>
        <w:ind w:left="1830" w:hanging="360"/>
      </w:pPr>
      <w:rPr>
        <w:rFonts w:ascii="Wingdings" w:hAnsi="Wingdings" w:cs="Wingdings" w:hint="default"/>
      </w:rPr>
    </w:lvl>
    <w:lvl w:ilvl="3">
      <w:start w:val="1"/>
      <w:numFmt w:val="bullet"/>
      <w:lvlText w:val=""/>
      <w:lvlJc w:val="left"/>
      <w:pPr>
        <w:ind w:left="2550" w:hanging="360"/>
      </w:pPr>
      <w:rPr>
        <w:rFonts w:ascii="Symbol" w:hAnsi="Symbol" w:cs="Symbol" w:hint="default"/>
      </w:rPr>
    </w:lvl>
    <w:lvl w:ilvl="4">
      <w:start w:val="1"/>
      <w:numFmt w:val="bullet"/>
      <w:lvlText w:val="o"/>
      <w:lvlJc w:val="left"/>
      <w:pPr>
        <w:ind w:left="3270" w:hanging="360"/>
      </w:pPr>
      <w:rPr>
        <w:rFonts w:ascii="Courier New" w:hAnsi="Courier New" w:cs="Courier New" w:hint="default"/>
        <w:rFonts w:cs="Courier New"/>
      </w:rPr>
    </w:lvl>
    <w:lvl w:ilvl="5">
      <w:start w:val="1"/>
      <w:numFmt w:val="bullet"/>
      <w:lvlText w:val=""/>
      <w:lvlJc w:val="left"/>
      <w:pPr>
        <w:ind w:left="3990" w:hanging="360"/>
      </w:pPr>
      <w:rPr>
        <w:rFonts w:ascii="Wingdings" w:hAnsi="Wingdings" w:cs="Wingdings" w:hint="default"/>
      </w:rPr>
    </w:lvl>
    <w:lvl w:ilvl="6">
      <w:start w:val="1"/>
      <w:numFmt w:val="bullet"/>
      <w:lvlText w:val=""/>
      <w:lvlJc w:val="left"/>
      <w:pPr>
        <w:ind w:left="4710" w:hanging="360"/>
      </w:pPr>
      <w:rPr>
        <w:rFonts w:ascii="Symbol" w:hAnsi="Symbol" w:cs="Symbol" w:hint="default"/>
      </w:rPr>
    </w:lvl>
    <w:lvl w:ilvl="7">
      <w:start w:val="1"/>
      <w:numFmt w:val="bullet"/>
      <w:lvlText w:val="o"/>
      <w:lvlJc w:val="left"/>
      <w:pPr>
        <w:ind w:left="5430" w:hanging="360"/>
      </w:pPr>
      <w:rPr>
        <w:rFonts w:ascii="Courier New" w:hAnsi="Courier New" w:cs="Courier New" w:hint="default"/>
        <w:rFonts w:cs="Courier New"/>
      </w:rPr>
    </w:lvl>
    <w:lvl w:ilvl="8">
      <w:start w:val="1"/>
      <w:numFmt w:val="bullet"/>
      <w:lvlText w:val=""/>
      <w:lvlJc w:val="left"/>
      <w:pPr>
        <w:ind w:left="6150" w:hanging="360"/>
      </w:pPr>
      <w:rPr>
        <w:rFonts w:ascii="Wingdings" w:hAnsi="Wingdings" w:cs="Wingdings" w:hint="default"/>
      </w:rPr>
    </w:lvl>
  </w:abstractNum>
  <w:abstractNum w:abstractNumId="2">
    <w:lvl w:ilvl="0">
      <w:start w:val="1"/>
      <w:numFmt w:val="decimal"/>
      <w:lvlText w:val="%1)"/>
      <w:lvlJc w:val="left"/>
      <w:pPr>
        <w:ind w:left="1065" w:hanging="705"/>
      </w:pPr>
      <w:rPr>
        <w:rFonts w:ascii="Times New Roman" w:hAnsi="Times New Roman"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4"/>
      <w:numFmt w:val="bullet"/>
      <w:lvlText w:val="-"/>
      <w:lvlJc w:val="left"/>
      <w:pPr>
        <w:ind w:left="720" w:hanging="360"/>
      </w:pPr>
      <w:rPr>
        <w:rFonts w:ascii="Times New Roman" w:hAnsi="Times New Roman" w:cs="Times New Roman" w:hint="default"/>
        <w:sz w:val="28"/>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e3d5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BodyText3Char" w:customStyle="1">
    <w:name w:val="Body Text 3 Char"/>
    <w:basedOn w:val="DefaultParagraphFont"/>
    <w:link w:val="BodyText3"/>
    <w:semiHidden/>
    <w:qFormat/>
    <w:rsid w:val="00ee3d53"/>
    <w:rPr>
      <w:rFonts w:ascii="Times New Roman" w:hAnsi="Times New Roman" w:eastAsia="Times New Roman" w:cs="Times New Roman"/>
      <w:sz w:val="16"/>
      <w:szCs w:val="16"/>
      <w:lang w:eastAsia="ro-RO"/>
    </w:rPr>
  </w:style>
  <w:style w:type="character" w:styleId="ListParagraphChar" w:customStyle="1">
    <w:name w:val="List Paragraph Char"/>
    <w:link w:val="ListParagraph"/>
    <w:uiPriority w:val="34"/>
    <w:qFormat/>
    <w:locked/>
    <w:rsid w:val="00ee3d53"/>
    <w:rPr/>
  </w:style>
  <w:style w:type="character" w:styleId="BalloonTextChar" w:customStyle="1">
    <w:name w:val="Balloon Text Char"/>
    <w:basedOn w:val="DefaultParagraphFont"/>
    <w:link w:val="BalloonText"/>
    <w:uiPriority w:val="99"/>
    <w:semiHidden/>
    <w:qFormat/>
    <w:rsid w:val="00895c4f"/>
    <w:rPr>
      <w:rFonts w:ascii="Segoe UI" w:hAnsi="Segoe UI" w:cs="Segoe UI"/>
      <w:sz w:val="18"/>
      <w:szCs w:val="18"/>
      <w:lang w:val="ro-RO"/>
    </w:rPr>
  </w:style>
  <w:style w:type="character" w:styleId="ListLabel1">
    <w:name w:val="ListLabel 1"/>
    <w:qFormat/>
    <w:rPr>
      <w:rFonts w:ascii="Times New Roman" w:hAnsi="Times New Roman" w:eastAsia="Times New Roman" w:cs="Times New Roman"/>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eastAsia="Calibri" w:cs="Times New Roman"/>
    </w:rPr>
  </w:style>
  <w:style w:type="character" w:styleId="ListLabel6">
    <w:name w:val="ListLabel 6"/>
    <w:qFormat/>
    <w:rPr>
      <w:rFonts w:eastAsia="Calibri" w:cs="Times New Roman"/>
    </w:rPr>
  </w:style>
  <w:style w:type="character" w:styleId="ListLabel7">
    <w:name w:val="ListLabel 7"/>
    <w:qFormat/>
    <w:rPr>
      <w:rFonts w:eastAsia="Times New Roman" w:cs="Times New Roman"/>
      <w:sz w:val="24"/>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Times New Roman" w:cs="Times New Roman"/>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ascii="Times New Roman" w:hAnsi="Times New Roman" w:eastAsia="Times New Roman" w:cs="Times New Roman"/>
      <w:b/>
      <w:sz w:val="28"/>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ascii="Times New Roman" w:hAnsi="Times New Roman" w:eastAsia="Times New Roman" w:cs="Times New Roman"/>
      <w:i/>
      <w:iCs/>
      <w:strike/>
      <w:vanish/>
      <w:u w:val="single"/>
      <w:lang w:val="en-US"/>
    </w:rPr>
  </w:style>
  <w:style w:type="character" w:styleId="InternetLink">
    <w:name w:val="Internet Link"/>
    <w:rPr>
      <w:color w:val="000080"/>
      <w:u w:val="single"/>
      <w:lang w:val="zxx" w:eastAsia="zxx" w:bidi="zxx"/>
    </w:rPr>
  </w:style>
  <w:style w:type="character" w:styleId="ListLabel20">
    <w:name w:val="ListLabel 20"/>
    <w:qFormat/>
    <w:rPr>
      <w:rFonts w:ascii="Times New Roman" w:hAnsi="Times New Roman" w:eastAsia="Times New Roman" w:cs="Times New Roman"/>
      <w:i/>
      <w:strike/>
      <w:vanish/>
      <w:u w:val="single"/>
      <w:lang w:val="en-US"/>
    </w:rPr>
  </w:style>
  <w:style w:type="character" w:styleId="ListLabel21">
    <w:name w:val="ListLabel 21"/>
    <w:qFormat/>
    <w:rPr>
      <w:rFonts w:ascii="Times New Roman" w:hAnsi="Times New Roman" w:eastAsia="Times New Roman" w:cs="Times New Roman"/>
      <w:i/>
      <w:u w:val="single"/>
      <w:lang w:val="en-US"/>
    </w:rPr>
  </w:style>
  <w:style w:type="character" w:styleId="ListLabel22">
    <w:name w:val="ListLabel 22"/>
    <w:qFormat/>
    <w:rPr>
      <w:rFonts w:ascii="Times New Roman" w:hAnsi="Times New Roman" w:eastAsia="Times New Roman" w:cs="Times New Roman"/>
      <w:i/>
      <w:iCs/>
      <w:strike/>
      <w:vanish/>
      <w:color w:val="0000FF"/>
      <w:u w:val="single"/>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3">
    <w:name w:val="Body Text 3"/>
    <w:basedOn w:val="Normal"/>
    <w:link w:val="BodyText3Char"/>
    <w:semiHidden/>
    <w:unhideWhenUsed/>
    <w:qFormat/>
    <w:rsid w:val="00ee3d53"/>
    <w:pPr>
      <w:spacing w:lineRule="auto" w:line="240" w:before="0" w:after="120"/>
    </w:pPr>
    <w:rPr>
      <w:rFonts w:ascii="Times New Roman" w:hAnsi="Times New Roman" w:eastAsia="Times New Roman" w:cs="Times New Roman"/>
      <w:sz w:val="16"/>
      <w:szCs w:val="16"/>
      <w:lang w:val="en-US" w:eastAsia="ro-RO"/>
    </w:rPr>
  </w:style>
  <w:style w:type="paragraph" w:styleId="NoSpacing">
    <w:name w:val="No Spacing"/>
    <w:uiPriority w:val="1"/>
    <w:qFormat/>
    <w:rsid w:val="00ee3d5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link w:val="ListParagraphChar"/>
    <w:uiPriority w:val="34"/>
    <w:qFormat/>
    <w:rsid w:val="00ee3d53"/>
    <w:pPr>
      <w:spacing w:before="0" w:after="200"/>
      <w:ind w:left="720" w:hanging="0"/>
      <w:contextualSpacing/>
    </w:pPr>
    <w:rPr>
      <w:lang w:val="en-US"/>
    </w:rPr>
  </w:style>
  <w:style w:type="paragraph" w:styleId="BalloonText">
    <w:name w:val="Balloon Text"/>
    <w:basedOn w:val="Normal"/>
    <w:link w:val="BalloonTextChar"/>
    <w:uiPriority w:val="99"/>
    <w:semiHidden/>
    <w:unhideWhenUsed/>
    <w:qFormat/>
    <w:rsid w:val="00895c4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Grid1">
    <w:name w:val="Table Grid1"/>
    <w:basedOn w:val="TableNormal"/>
    <w:uiPriority w:val="39"/>
    <w:rsid w:val="00ef7c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ef7c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unsaved://LexNavigator.htm/DB0;LexAct 212949" TargetMode="External"/><Relationship Id="rId3" Type="http://schemas.openxmlformats.org/officeDocument/2006/relationships/hyperlink" Target="unsaved://LexNavigator.htm/DB0;LexAct 148935" TargetMode="External"/><Relationship Id="rId4" Type="http://schemas.openxmlformats.org/officeDocument/2006/relationships/hyperlink" Target="unsaved://LexNavigator.htm/DB0;LexAct 301467" TargetMode="External"/><Relationship Id="rId5" Type="http://schemas.openxmlformats.org/officeDocument/2006/relationships/hyperlink" Target="unsaved://LexNavigator.htm/DB0;LexAct 148935" TargetMode="External"/><Relationship Id="rId6" Type="http://schemas.openxmlformats.org/officeDocument/2006/relationships/hyperlink" Target="unsaved://LexNavigator.htm/DB0;LexAct 301467"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Application>Trio_Office/6.2.8.2$Windows_x86 LibreOffice_project/</Application>
  <Pages>11</Pages>
  <Words>2988</Words>
  <Characters>17778</Characters>
  <CharactersWithSpaces>21536</CharactersWithSpaces>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2025-05-15T12:47:00Z</dcterms:created>
  <dc:creator>BY DELL</dc:creator>
  <dc:description/>
  <dc:language>ro-RO</dc:language>
  <cp:lastModifiedBy>BY DELL</cp:lastModifiedBy>
  <cp:lastPrinted>2025-05-19T05:56:00Z</cp:lastPrinted>
  <dcterms:modified xsi:type="dcterms:W3CDTF">2025-05-19T07:10:00Z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