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4" w:rsidRDefault="009E12F4" w:rsidP="009E12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2111" w:rsidRDefault="009E12F4" w:rsidP="009E12F4">
      <w:pPr>
        <w:autoSpaceDE w:val="0"/>
        <w:autoSpaceDN w:val="0"/>
        <w:adjustRightInd w:val="0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</w:t>
      </w:r>
    </w:p>
    <w:p w:rsidR="009E12F4" w:rsidRPr="009E12F4" w:rsidRDefault="009E12F4" w:rsidP="009E12F4">
      <w:pPr>
        <w:autoSpaceDE w:val="0"/>
        <w:autoSpaceDN w:val="0"/>
        <w:adjustRightInd w:val="0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2F4" w:rsidRPr="00D93894" w:rsidRDefault="009E12F4" w:rsidP="00D938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D93894">
        <w:rPr>
          <w:rFonts w:ascii="Times New Roman" w:hAnsi="Times New Roman" w:cs="Times New Roman"/>
          <w:b/>
        </w:rPr>
        <w:t>Scutirea</w:t>
      </w:r>
      <w:proofErr w:type="spellEnd"/>
      <w:r w:rsidRPr="00D93894">
        <w:rPr>
          <w:rFonts w:ascii="Times New Roman" w:hAnsi="Times New Roman" w:cs="Times New Roman"/>
          <w:b/>
        </w:rPr>
        <w:t>/</w:t>
      </w:r>
      <w:proofErr w:type="spellStart"/>
      <w:r w:rsidRPr="00D93894">
        <w:rPr>
          <w:rFonts w:ascii="Times New Roman" w:hAnsi="Times New Roman" w:cs="Times New Roman"/>
          <w:b/>
        </w:rPr>
        <w:t>reducerea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impozitului</w:t>
      </w:r>
      <w:proofErr w:type="spellEnd"/>
      <w:r w:rsidRPr="00D93894">
        <w:rPr>
          <w:rFonts w:ascii="Times New Roman" w:hAnsi="Times New Roman" w:cs="Times New Roman"/>
          <w:b/>
        </w:rPr>
        <w:t>/</w:t>
      </w:r>
      <w:proofErr w:type="spellStart"/>
      <w:r w:rsidRPr="00D93894">
        <w:rPr>
          <w:rFonts w:ascii="Times New Roman" w:hAnsi="Times New Roman" w:cs="Times New Roman"/>
          <w:b/>
        </w:rPr>
        <w:t>taxei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pe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clădiri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datorat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pentru</w:t>
      </w:r>
      <w:proofErr w:type="spellEnd"/>
      <w:r w:rsidRPr="00D93894">
        <w:rPr>
          <w:rFonts w:ascii="Times New Roman" w:hAnsi="Times New Roman" w:cs="Times New Roman"/>
          <w:b/>
        </w:rPr>
        <w:t>:</w:t>
      </w:r>
    </w:p>
    <w:p w:rsidR="009E12F4" w:rsidRPr="00D93894" w:rsidRDefault="009E12F4" w:rsidP="00D93894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 w:rsidRPr="00D93894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care,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muzee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case </w:t>
      </w:r>
      <w:proofErr w:type="spellStart"/>
      <w:r w:rsidRPr="00D93894">
        <w:rPr>
          <w:rFonts w:ascii="Times New Roman" w:eastAsia="Times New Roman" w:hAnsi="Times New Roman" w:cs="Times New Roman"/>
        </w:rPr>
        <w:t>memoriale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b)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utilizate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furnizarea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servicii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către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neguvernamentale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întreprinderi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furnizori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servicii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gratuită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c)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nonprofit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utilizate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organizaţiile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nonprofit,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gratuită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exclusiv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fără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scop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lucrativ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d)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93894">
        <w:rPr>
          <w:rFonts w:ascii="Times New Roman" w:eastAsia="Times New Roman" w:hAnsi="Times New Roman" w:cs="Times New Roman"/>
        </w:rPr>
        <w:t>16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din </w:t>
      </w:r>
      <w:hyperlink r:id="rId5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 10/2001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regimul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juridic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preluate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mod </w:t>
      </w:r>
      <w:proofErr w:type="spellStart"/>
      <w:r w:rsidRPr="00D93894">
        <w:rPr>
          <w:rFonts w:ascii="Times New Roman" w:eastAsia="Times New Roman" w:hAnsi="Times New Roman" w:cs="Times New Roman"/>
        </w:rPr>
        <w:t>abuziv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6 </w:t>
      </w:r>
      <w:proofErr w:type="spellStart"/>
      <w:r w:rsidRPr="00D93894">
        <w:rPr>
          <w:rFonts w:ascii="Times New Roman" w:eastAsia="Times New Roman" w:hAnsi="Times New Roman" w:cs="Times New Roman"/>
        </w:rPr>
        <w:t>martie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1945 - 22 </w:t>
      </w:r>
      <w:proofErr w:type="spellStart"/>
      <w:r w:rsidRPr="00D93894">
        <w:rPr>
          <w:rFonts w:ascii="Times New Roman" w:eastAsia="Times New Roman" w:hAnsi="Times New Roman" w:cs="Times New Roman"/>
        </w:rPr>
        <w:t>decembrie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1989,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e)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retrocedate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 </w:t>
      </w:r>
      <w:proofErr w:type="gramStart"/>
      <w:r w:rsidRPr="00D93894">
        <w:rPr>
          <w:rFonts w:ascii="Times New Roman" w:eastAsia="Times New Roman" w:hAnsi="Times New Roman" w:cs="Times New Roman"/>
        </w:rPr>
        <w:t>1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(10) </w:t>
      </w:r>
      <w:proofErr w:type="gramStart"/>
      <w:r w:rsidRPr="00D93894">
        <w:rPr>
          <w:rFonts w:ascii="Times New Roman" w:eastAsia="Times New Roman" w:hAnsi="Times New Roman" w:cs="Times New Roman"/>
        </w:rPr>
        <w:t>din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6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 94/2000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retrocedarea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bunuri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aparţinut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cultelor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religioase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f)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 </w:t>
      </w:r>
      <w:proofErr w:type="gramStart"/>
      <w:r w:rsidRPr="00D93894">
        <w:rPr>
          <w:rFonts w:ascii="Times New Roman" w:eastAsia="Times New Roman" w:hAnsi="Times New Roman" w:cs="Times New Roman"/>
        </w:rPr>
        <w:t>1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(5) </w:t>
      </w:r>
      <w:proofErr w:type="gramStart"/>
      <w:r w:rsidRPr="00D93894">
        <w:rPr>
          <w:rFonts w:ascii="Times New Roman" w:eastAsia="Times New Roman" w:hAnsi="Times New Roman" w:cs="Times New Roman"/>
        </w:rPr>
        <w:t>din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7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83/1999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bunuri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aparţinut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comunităţilor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cetăţenilor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aparţinând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minorităţilor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g)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rezidenţiale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calamităţi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naturale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s-a </w:t>
      </w:r>
      <w:proofErr w:type="spellStart"/>
      <w:r w:rsidRPr="00D93894">
        <w:rPr>
          <w:rFonts w:ascii="Times New Roman" w:eastAsia="Times New Roman" w:hAnsi="Times New Roman" w:cs="Times New Roman"/>
        </w:rPr>
        <w:t>produs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evenimentul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h)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rezidenţiale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D93894">
        <w:rPr>
          <w:rFonts w:ascii="Times New Roman" w:eastAsia="Times New Roman" w:hAnsi="Times New Roman" w:cs="Times New Roman"/>
        </w:rPr>
        <w:t>executat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intervenţie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creşterea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performanţei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baza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procesului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verbal de </w:t>
      </w:r>
      <w:proofErr w:type="spellStart"/>
      <w:r w:rsidRPr="00D93894">
        <w:rPr>
          <w:rFonts w:ascii="Times New Roman" w:eastAsia="Times New Roman" w:hAnsi="Times New Roman" w:cs="Times New Roman"/>
        </w:rPr>
        <w:t>recepţie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93894">
        <w:rPr>
          <w:rFonts w:ascii="Times New Roman" w:eastAsia="Times New Roman" w:hAnsi="Times New Roman" w:cs="Times New Roman"/>
        </w:rPr>
        <w:t>terminarea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întocmit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condiţiile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se </w:t>
      </w:r>
      <w:proofErr w:type="spellStart"/>
      <w:r w:rsidRPr="00D93894">
        <w:rPr>
          <w:rFonts w:ascii="Times New Roman" w:eastAsia="Times New Roman" w:hAnsi="Times New Roman" w:cs="Times New Roman"/>
        </w:rPr>
        <w:t>constată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realizarea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măsurilor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intervenţie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recomandate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către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auditorul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energetic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certificatul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performanţă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după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raportul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audit energetic, </w:t>
      </w:r>
      <w:proofErr w:type="spellStart"/>
      <w:r w:rsidRPr="00D93894">
        <w:rPr>
          <w:rFonts w:ascii="Times New Roman" w:eastAsia="Times New Roman" w:hAnsi="Times New Roman" w:cs="Times New Roman"/>
        </w:rPr>
        <w:t>astfel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cum </w:t>
      </w:r>
      <w:proofErr w:type="spellStart"/>
      <w:r w:rsidRPr="00D93894">
        <w:rPr>
          <w:rFonts w:ascii="Times New Roman" w:eastAsia="Times New Roman" w:hAnsi="Times New Roman" w:cs="Times New Roman"/>
        </w:rPr>
        <w:t>este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8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18/2009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creşterea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performanţei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blocurilor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locuinţe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aprobată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9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158/2011</w:t>
        </w:r>
      </w:hyperlink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execută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instalarea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sisteme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producere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energiei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electrice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surse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fotovoltaice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sisteme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certificate de </w:t>
      </w:r>
      <w:proofErr w:type="spellStart"/>
      <w:r w:rsidRPr="00D93894">
        <w:rPr>
          <w:rFonts w:ascii="Times New Roman" w:eastAsia="Times New Roman" w:hAnsi="Times New Roman" w:cs="Times New Roman"/>
        </w:rPr>
        <w:t>colectare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tratare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apelor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rezultate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consumul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propriu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proofErr w:type="spellStart"/>
      <w:r w:rsidRPr="00D93894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D93894">
        <w:rPr>
          <w:rFonts w:ascii="Times New Roman" w:eastAsia="Times New Roman" w:hAnsi="Times New Roman" w:cs="Times New Roman"/>
          <w:b/>
          <w:bCs/>
        </w:rPr>
        <w:t>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domiciliu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persoanelor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locuiesc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localităţile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0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Hotărârea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323/1996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aprobarea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Programului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sprijinirea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dezvoltării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economico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localităţi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Munţii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Apuseni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1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Hotărârea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395/1996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aprobarea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Programului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măsuri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sprijinirea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dezvoltării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economico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judeţului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Tulcea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Rezervaţiei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Biosferei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«Delta </w:t>
      </w:r>
      <w:proofErr w:type="spellStart"/>
      <w:r w:rsidRPr="00D93894">
        <w:rPr>
          <w:rFonts w:ascii="Times New Roman" w:eastAsia="Times New Roman" w:hAnsi="Times New Roman" w:cs="Times New Roman"/>
        </w:rPr>
        <w:t>Dunării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»,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cărora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impozitul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D93894">
        <w:rPr>
          <w:rFonts w:ascii="Times New Roman" w:eastAsia="Times New Roman" w:hAnsi="Times New Roman" w:cs="Times New Roman"/>
        </w:rPr>
        <w:t>poate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reduce cu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50%;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j)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deţinute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asociaţiile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dezvoltare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intercomunitară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k)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desfăşurarea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sportive,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cărora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impozitul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D93894">
        <w:rPr>
          <w:rFonts w:ascii="Times New Roman" w:eastAsia="Times New Roman" w:hAnsi="Times New Roman" w:cs="Times New Roman"/>
        </w:rPr>
        <w:t>poate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reduce cu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50%,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l)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efectuează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intabularea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cartea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funciară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 </w:t>
      </w:r>
      <w:proofErr w:type="spellStart"/>
      <w:r w:rsidRPr="00D93894">
        <w:rPr>
          <w:rFonts w:ascii="Times New Roman" w:eastAsia="Times New Roman" w:hAnsi="Times New Roman" w:cs="Times New Roman"/>
        </w:rPr>
        <w:t>avut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intabularea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m)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fundaţiilor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înfiinţate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testament, </w:t>
      </w:r>
      <w:proofErr w:type="spellStart"/>
      <w:r w:rsidRPr="00D93894">
        <w:rPr>
          <w:rFonts w:ascii="Times New Roman" w:eastAsia="Times New Roman" w:hAnsi="Times New Roman" w:cs="Times New Roman"/>
        </w:rPr>
        <w:t>constituite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scopul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D93894">
        <w:rPr>
          <w:rFonts w:ascii="Times New Roman" w:eastAsia="Times New Roman" w:hAnsi="Times New Roman" w:cs="Times New Roman"/>
        </w:rPr>
        <w:t>întreţine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dezvolta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instituţii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cultură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D93894">
        <w:rPr>
          <w:rFonts w:ascii="Times New Roman" w:eastAsia="Times New Roman" w:hAnsi="Times New Roman" w:cs="Times New Roman"/>
        </w:rPr>
        <w:t>susţine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93894">
        <w:rPr>
          <w:rFonts w:ascii="Times New Roman" w:eastAsia="Times New Roman" w:hAnsi="Times New Roman" w:cs="Times New Roman"/>
        </w:rPr>
        <w:t>caracter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umanitar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cultural;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n)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sanitare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private,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generează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venituri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decât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domeniul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sănătăţii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o)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domiciliu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persoanelor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art.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93894">
        <w:rPr>
          <w:rFonts w:ascii="Times New Roman" w:eastAsia="Times New Roman" w:hAnsi="Times New Roman" w:cs="Times New Roman"/>
        </w:rPr>
        <w:t>2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lit. </w:t>
      </w:r>
      <w:r w:rsidRPr="00D93894">
        <w:rPr>
          <w:rFonts w:ascii="Times New Roman" w:eastAsia="Times New Roman" w:hAnsi="Times New Roman" w:cs="Times New Roman"/>
        </w:rPr>
        <w:lastRenderedPageBreak/>
        <w:t xml:space="preserve">c) - f)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j) din </w:t>
      </w:r>
      <w:hyperlink r:id="rId12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168/2020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recunoaşterea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meritelor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personalului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participant la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misiuni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operaţii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teritoriul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afara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teritoriului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statului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român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acordarea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acestuia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familiei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acestuia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urmaşilor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decedat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p)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cetăţenilor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aparţinând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minorităţilor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statut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utilitate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publică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închiriate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concesionate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acestea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la o </w:t>
      </w:r>
      <w:proofErr w:type="spellStart"/>
      <w:r w:rsidRPr="00D93894">
        <w:rPr>
          <w:rFonts w:ascii="Times New Roman" w:eastAsia="Times New Roman" w:hAnsi="Times New Roman" w:cs="Times New Roman"/>
        </w:rPr>
        <w:t>instituţie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autoritate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publică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r)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monumente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de </w:t>
      </w:r>
      <w:proofErr w:type="spellStart"/>
      <w:r w:rsidRPr="00D93894">
        <w:rPr>
          <w:rFonts w:ascii="Times New Roman" w:eastAsia="Times New Roman" w:hAnsi="Times New Roman" w:cs="Times New Roman"/>
        </w:rPr>
        <w:t>arhitectură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arheologice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indiferent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titularul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administrare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care nu au </w:t>
      </w:r>
      <w:proofErr w:type="spellStart"/>
      <w:r w:rsidRPr="00D93894">
        <w:rPr>
          <w:rFonts w:ascii="Times New Roman" w:eastAsia="Times New Roman" w:hAnsi="Times New Roman" w:cs="Times New Roman"/>
        </w:rPr>
        <w:t>faţada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stradală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>/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principală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renovată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D93894">
        <w:rPr>
          <w:rFonts w:ascii="Times New Roman" w:eastAsia="Times New Roman" w:hAnsi="Times New Roman" w:cs="Times New Roman"/>
        </w:rPr>
        <w:t>prevederilor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3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Legii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422/2001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protejarea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monumentelor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realizării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renovare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</w:t>
      </w:r>
      <w:proofErr w:type="spellStart"/>
      <w:r w:rsidRPr="00D93894">
        <w:rPr>
          <w:rFonts w:ascii="Times New Roman" w:eastAsia="Times New Roman" w:hAnsi="Times New Roman" w:cs="Times New Roman"/>
        </w:rPr>
        <w:t>autorizaţiei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construcţie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data </w:t>
      </w:r>
      <w:proofErr w:type="spellStart"/>
      <w:r w:rsidRPr="00D93894">
        <w:rPr>
          <w:rFonts w:ascii="Times New Roman" w:eastAsia="Times New Roman" w:hAnsi="Times New Roman" w:cs="Times New Roman"/>
        </w:rPr>
        <w:t>procesului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verbal de </w:t>
      </w:r>
      <w:proofErr w:type="spellStart"/>
      <w:r w:rsidRPr="00D93894">
        <w:rPr>
          <w:rFonts w:ascii="Times New Roman" w:eastAsia="Times New Roman" w:hAnsi="Times New Roman" w:cs="Times New Roman"/>
        </w:rPr>
        <w:t>recepţie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efectuate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fost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renovare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s)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monumente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de </w:t>
      </w:r>
      <w:proofErr w:type="spellStart"/>
      <w:r w:rsidRPr="00D93894">
        <w:rPr>
          <w:rFonts w:ascii="Times New Roman" w:eastAsia="Times New Roman" w:hAnsi="Times New Roman" w:cs="Times New Roman"/>
        </w:rPr>
        <w:t>arhitectură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arheologice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indiferent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titularul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administrare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care au </w:t>
      </w:r>
      <w:proofErr w:type="spellStart"/>
      <w:r w:rsidRPr="00D93894">
        <w:rPr>
          <w:rFonts w:ascii="Times New Roman" w:eastAsia="Times New Roman" w:hAnsi="Times New Roman" w:cs="Times New Roman"/>
        </w:rPr>
        <w:t>faţada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stradală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>/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principală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renovată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D93894">
        <w:rPr>
          <w:rFonts w:ascii="Times New Roman" w:eastAsia="Times New Roman" w:hAnsi="Times New Roman" w:cs="Times New Roman"/>
        </w:rPr>
        <w:t>prevederilor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4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Legii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422/2001</w:t>
        </w:r>
      </w:hyperlink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fost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</w:t>
      </w:r>
    </w:p>
    <w:p w:rsidR="003F26AF" w:rsidRDefault="003F26AF" w:rsidP="00D93894">
      <w:pPr>
        <w:spacing w:line="276" w:lineRule="auto"/>
      </w:pPr>
    </w:p>
    <w:p w:rsidR="00466DEC" w:rsidRDefault="00466DEC" w:rsidP="00466DE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bookmarkStart w:id="0" w:name="_GoBack"/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466DEC" w:rsidRPr="00466DEC" w:rsidRDefault="00466DEC" w:rsidP="00466DE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</w:t>
      </w:r>
      <w:r>
        <w:rPr>
          <w:rFonts w:ascii="Times New Roman" w:hAnsi="Times New Roman" w:cs="Times New Roman"/>
          <w:color w:val="000000"/>
          <w:lang w:val="en-AU"/>
        </w:rPr>
        <w:t xml:space="preserve"> CONSILIER   LOCAL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>SECRETAR GENERAL UAT</w:t>
      </w:r>
    </w:p>
    <w:p w:rsidR="00466DEC" w:rsidRPr="00466DEC" w:rsidRDefault="00466DEC" w:rsidP="00466DE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</w:t>
      </w:r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bookmarkEnd w:id="0"/>
    <w:p w:rsidR="00466DEC" w:rsidRPr="00466DEC" w:rsidRDefault="00466DEC" w:rsidP="00466DEC">
      <w:pPr>
        <w:tabs>
          <w:tab w:val="left" w:pos="8100"/>
        </w:tabs>
        <w:autoSpaceDE w:val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                                                                                     </w:t>
      </w:r>
    </w:p>
    <w:p w:rsidR="00466DEC" w:rsidRDefault="00466DEC" w:rsidP="00466DEC">
      <w:pPr>
        <w:jc w:val="both"/>
        <w:rPr>
          <w:rFonts w:ascii="Times New Roman" w:hAnsi="Times New Roman" w:cs="Times New Roman"/>
          <w:lang w:val="ro-RO"/>
        </w:rPr>
      </w:pPr>
    </w:p>
    <w:p w:rsidR="00466DEC" w:rsidRDefault="00466DEC" w:rsidP="00466DEC">
      <w:pPr>
        <w:jc w:val="both"/>
        <w:rPr>
          <w:rFonts w:ascii="Times New Roman" w:hAnsi="Times New Roman" w:cs="Times New Roman"/>
        </w:rPr>
      </w:pPr>
    </w:p>
    <w:p w:rsidR="00466DEC" w:rsidRPr="00D93894" w:rsidRDefault="00466DEC" w:rsidP="00D93894">
      <w:pPr>
        <w:spacing w:line="276" w:lineRule="auto"/>
      </w:pPr>
    </w:p>
    <w:sectPr w:rsidR="00466DEC" w:rsidRPr="00D93894" w:rsidSect="00D93894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EF"/>
    <w:multiLevelType w:val="hybridMultilevel"/>
    <w:tmpl w:val="F2624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E5"/>
    <w:rsid w:val="001549E5"/>
    <w:rsid w:val="001A2111"/>
    <w:rsid w:val="003F26AF"/>
    <w:rsid w:val="00466DEC"/>
    <w:rsid w:val="009E12F4"/>
    <w:rsid w:val="00D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ED7F"/>
  <w15:chartTrackingRefBased/>
  <w15:docId w15:val="{D495D33A-64B6-4CC4-B784-23CC223A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53658" TargetMode="External"/><Relationship Id="rId13" Type="http://schemas.openxmlformats.org/officeDocument/2006/relationships/hyperlink" Target="unsaved://LexNavigator.htm/DB0;LexAct%20529533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58969" TargetMode="External"/><Relationship Id="rId12" Type="http://schemas.openxmlformats.org/officeDocument/2006/relationships/hyperlink" Target="unsaved://LexNavigator.htm/DB0;LexAct%205254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403923" TargetMode="External"/><Relationship Id="rId11" Type="http://schemas.openxmlformats.org/officeDocument/2006/relationships/hyperlink" Target="unsaved://LexNavigator.htm/DB0;LexAct%2013319" TargetMode="External"/><Relationship Id="rId5" Type="http://schemas.openxmlformats.org/officeDocument/2006/relationships/hyperlink" Target="unsaved://LexNavigator.htm/DB0;LexAct%20526697" TargetMode="External"/><Relationship Id="rId15" Type="http://schemas.openxmlformats.org/officeDocument/2006/relationships/fontTable" Target="fontTable.xml"/><Relationship Id="rId10" Type="http://schemas.openxmlformats.org/officeDocument/2006/relationships/hyperlink" Target="unsaved://LexNavigator.htm/DB0;LexAct%20536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48894" TargetMode="External"/><Relationship Id="rId14" Type="http://schemas.openxmlformats.org/officeDocument/2006/relationships/hyperlink" Target="unsaved://LexNavigator.htm/DB0;LexAct%20529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</cp:revision>
  <cp:lastPrinted>2025-12-23T06:26:00Z</cp:lastPrinted>
  <dcterms:created xsi:type="dcterms:W3CDTF">2025-12-22T14:40:00Z</dcterms:created>
  <dcterms:modified xsi:type="dcterms:W3CDTF">2025-12-29T08:08:00Z</dcterms:modified>
</cp:coreProperties>
</file>