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34170D2B" w:rsidR="00761DD7" w:rsidRPr="00D54831" w:rsidRDefault="00BF0F56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5856 din 02.06.2026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7FB6B098" w:rsidR="00761DD7" w:rsidRPr="00D54831" w:rsidRDefault="00BF0F56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02.06.2026</w:t>
      </w:r>
      <w:r w:rsidR="00761DD7" w:rsidRPr="00D54831">
        <w:rPr>
          <w:rFonts w:ascii="Times New Roman" w:eastAsia="Times New Roman" w:hAnsi="Times New Roman"/>
          <w:b/>
        </w:rPr>
        <w:t xml:space="preserve">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135FA367" w:rsidR="00761DD7" w:rsidRPr="000B7CBC" w:rsidRDefault="00761DD7" w:rsidP="000B7CBC">
      <w:pPr>
        <w:spacing w:after="0"/>
        <w:rPr>
          <w:rFonts w:ascii="Times New Roman" w:eastAsia="Times New Roman" w:hAnsi="Times New Roman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</w:t>
      </w:r>
      <w:r w:rsidR="000B7CBC" w:rsidRPr="000B7CBC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Creangă</w:t>
      </w:r>
      <w:proofErr w:type="spellEnd"/>
      <w:r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BC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 w:rsidR="00BF0F56">
        <w:rPr>
          <w:rFonts w:ascii="Times New Roman" w:hAnsi="Times New Roman"/>
          <w:color w:val="000000"/>
          <w:sz w:val="24"/>
          <w:szCs w:val="24"/>
        </w:rPr>
        <w:t>alin.</w:t>
      </w:r>
      <w:r w:rsidRPr="000B7CBC">
        <w:rPr>
          <w:rFonts w:ascii="Times New Roman" w:hAnsi="Times New Roman"/>
          <w:color w:val="000000"/>
          <w:sz w:val="24"/>
          <w:szCs w:val="24"/>
        </w:rPr>
        <w:t>(1</w:t>
      </w:r>
      <w:r w:rsidR="00BF0F56">
        <w:rPr>
          <w:rFonts w:ascii="Times New Roman" w:hAnsi="Times New Roman"/>
          <w:color w:val="000000"/>
          <w:sz w:val="24"/>
          <w:szCs w:val="24"/>
        </w:rPr>
        <w:t>3</w:t>
      </w:r>
      <w:r w:rsidRPr="000B7CBC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1869E5C1" w14:textId="5D3B35C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319FD11D" w14:textId="63E5E34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ED47B5">
        <w:rPr>
          <w:rFonts w:ascii="Times New Roman" w:hAnsi="Times New Roman"/>
          <w:color w:val="000000"/>
        </w:rPr>
        <w:t xml:space="preserve"> adrese.</w:t>
      </w:r>
    </w:p>
    <w:p w14:paraId="5B26219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60E4B3AA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>; la sediul instituției, str. I.C.Brătianu, nr. 111;</w:t>
      </w:r>
    </w:p>
    <w:p w14:paraId="40CD77F8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5803E8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14:paraId="43ECC925" w14:textId="07795B9D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BF0F56">
        <w:rPr>
          <w:rFonts w:ascii="Times New Roman" w:hAnsi="Times New Roman"/>
          <w:color w:val="000000"/>
        </w:rPr>
        <w:t>11 iunie 2026</w:t>
      </w:r>
      <w:r w:rsidRPr="00D54831">
        <w:rPr>
          <w:rFonts w:ascii="Times New Roman" w:hAnsi="Times New Roman"/>
          <w:color w:val="000000"/>
        </w:rPr>
        <w:t xml:space="preserve">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>
        <w:rPr>
          <w:rFonts w:ascii="Times New Roman" w:hAnsi="Times New Roman"/>
          <w:i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45589D41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7395A40C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4EC34D9B" w14:textId="4133C439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asociaţie legal constituită sau de către o altă autoritate publică până</w:t>
      </w:r>
      <w:r w:rsidR="00BF0F56">
        <w:rPr>
          <w:rFonts w:ascii="Times New Roman" w:hAnsi="Times New Roman"/>
          <w:color w:val="000000"/>
        </w:rPr>
        <w:t xml:space="preserve"> la data de 15 iunie 2026</w:t>
      </w:r>
      <w:r w:rsidRPr="00D54831">
        <w:rPr>
          <w:rFonts w:ascii="Times New Roman" w:hAnsi="Times New Roman"/>
          <w:color w:val="000000"/>
        </w:rPr>
        <w:t>.</w:t>
      </w:r>
    </w:p>
    <w:p w14:paraId="358506DB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9A458F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2B6B41C9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7FD8695B" w14:textId="1330A9DF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1" w:name="_GoBack"/>
      <w:bookmarkEnd w:id="1"/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323448FE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4C37"/>
    <w:rsid w:val="000C52E4"/>
    <w:rsid w:val="000C5AA1"/>
    <w:rsid w:val="000D1A27"/>
    <w:rsid w:val="000D585A"/>
    <w:rsid w:val="000E01B9"/>
    <w:rsid w:val="000E6DE4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6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B3B8D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4F75BB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089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0456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13E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E561D"/>
    <w:rsid w:val="006E5E5B"/>
    <w:rsid w:val="006F03CA"/>
    <w:rsid w:val="006F474C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38E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0DFD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47E34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8A6"/>
    <w:rsid w:val="00883FED"/>
    <w:rsid w:val="0088657A"/>
    <w:rsid w:val="008874C6"/>
    <w:rsid w:val="00891D9F"/>
    <w:rsid w:val="008922DD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5AE7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3B04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46138"/>
    <w:rsid w:val="00A47264"/>
    <w:rsid w:val="00A50F35"/>
    <w:rsid w:val="00A540DA"/>
    <w:rsid w:val="00A60444"/>
    <w:rsid w:val="00A605AC"/>
    <w:rsid w:val="00A63185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5CBC"/>
    <w:rsid w:val="00B06175"/>
    <w:rsid w:val="00B07FBD"/>
    <w:rsid w:val="00B1188A"/>
    <w:rsid w:val="00B11C3A"/>
    <w:rsid w:val="00B11C85"/>
    <w:rsid w:val="00B13C52"/>
    <w:rsid w:val="00B17BB0"/>
    <w:rsid w:val="00B2180D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3AEF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0F56"/>
    <w:rsid w:val="00BF4818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B8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AB4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7FD8"/>
    <w:rsid w:val="00CF02FF"/>
    <w:rsid w:val="00CF04B6"/>
    <w:rsid w:val="00CF1BF8"/>
    <w:rsid w:val="00D01269"/>
    <w:rsid w:val="00D043F9"/>
    <w:rsid w:val="00D07237"/>
    <w:rsid w:val="00D10894"/>
    <w:rsid w:val="00D1161F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18E1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4ECE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4FD1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B4BD7"/>
    <w:rsid w:val="00EC2B1B"/>
    <w:rsid w:val="00EC77A1"/>
    <w:rsid w:val="00ED33CA"/>
    <w:rsid w:val="00ED47B5"/>
    <w:rsid w:val="00ED7B58"/>
    <w:rsid w:val="00EE0175"/>
    <w:rsid w:val="00EE0BDC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2F5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30AE-1EEA-4E85-9073-C71D5299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386</cp:revision>
  <cp:lastPrinted>2025-07-18T07:45:00Z</cp:lastPrinted>
  <dcterms:created xsi:type="dcterms:W3CDTF">2015-05-29T10:25:00Z</dcterms:created>
  <dcterms:modified xsi:type="dcterms:W3CDTF">2026-06-12T06:04:00Z</dcterms:modified>
</cp:coreProperties>
</file>